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svg" ContentType="image/svg+xml"/>
  <Override PartName="/word/media/image4.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907C83" w:rsidP="00062C92" w14:paraId="5CAC0336" w14:textId="77777777">
      <w:pPr>
        <w:pStyle w:val="ListParagraph"/>
        <w:ind w:left="0"/>
        <w:rPr>
          <w:color w:val="auto"/>
          <w:sz w:val="72"/>
          <w:szCs w:val="52"/>
        </w:rPr>
      </w:pPr>
      <w:r>
        <w:rPr>
          <w:noProof/>
          <w:color w:val="auto"/>
          <w:sz w:val="52"/>
          <w:szCs w:val="44"/>
        </w:rPr>
        <w:drawing>
          <wp:inline distT="0" distB="0" distL="0" distR="0">
            <wp:extent cx="914400" cy="914400"/>
            <wp:effectExtent l="0" t="0" r="0" b="0"/>
            <wp:docPr id="1" name="Graphic 1" descr="Scales of just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cales of justice outlin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r w:rsidRPr="00907C83">
        <w:rPr>
          <w:color w:val="auto"/>
          <w:sz w:val="72"/>
          <w:szCs w:val="52"/>
        </w:rPr>
        <w:t>犯罪受害者權利法案</w:t>
      </w:r>
    </w:p>
    <w:p w:rsidR="00907C83" w:rsidRPr="00907C83" w:rsidP="00062C92" w14:paraId="52BEDFE5" w14:textId="24CED7A6">
      <w:pPr>
        <w:pStyle w:val="ListParagraph"/>
        <w:ind w:left="0"/>
        <w:rPr>
          <w:color w:val="auto"/>
          <w:sz w:val="56"/>
          <w:szCs w:val="48"/>
        </w:rPr>
      </w:pPr>
      <w:r w:rsidRPr="00907C83">
        <w:rPr>
          <w:color w:val="auto"/>
          <w:sz w:val="36"/>
          <w:szCs w:val="28"/>
        </w:rPr>
        <w:t>作為一名罪案的受害人，您將享有</w:t>
      </w:r>
      <w:hyperlink r:id="rId9" w:history="1">
        <w:r w:rsidRPr="00907C83">
          <w:rPr>
            <w:rStyle w:val="Hyperlink"/>
            <w:sz w:val="36"/>
            <w:szCs w:val="28"/>
          </w:rPr>
          <w:t>RCW 7.69.030</w:t>
        </w:r>
      </w:hyperlink>
      <w:r>
        <w:t>所列出的某些權利</w:t>
      </w:r>
    </w:p>
    <w:p w:rsidR="00907C83" w:rsidP="00062C92" w14:paraId="04EDF1AD" w14:textId="77777777">
      <w:pPr>
        <w:pStyle w:val="ListParagraph"/>
        <w:ind w:left="0"/>
        <w:rPr>
          <w:color w:val="auto"/>
          <w:sz w:val="24"/>
          <w:szCs w:val="20"/>
        </w:rPr>
      </w:pPr>
    </w:p>
    <w:p w:rsidR="00907C83" w:rsidP="00062C92" w14:paraId="4524F203" w14:textId="3565294B">
      <w:pPr>
        <w:pStyle w:val="ListParagraph"/>
        <w:ind w:left="0"/>
        <w:rPr>
          <w:color w:val="auto"/>
          <w:sz w:val="24"/>
          <w:szCs w:val="20"/>
        </w:rPr>
        <w:sectPr>
          <w:pgSz w:w="12240" w:h="15840"/>
          <w:pgMar w:top="1440" w:right="1440" w:bottom="1440" w:left="1440" w:header="720" w:footer="720" w:gutter="0"/>
          <w:cols w:space="720"/>
          <w:docGrid w:linePitch="360"/>
        </w:sectPr>
      </w:pPr>
    </w:p>
    <w:p w:rsidR="00766B76" w:rsidRPr="00766B76" w:rsidP="00766B76" w14:paraId="1C45DA74" w14:textId="77777777">
      <w:pPr>
        <w:pStyle w:val="ListParagraph"/>
        <w:ind w:left="90"/>
        <w:rPr>
          <w:color w:val="auto"/>
          <w:sz w:val="24"/>
          <w:szCs w:val="24"/>
        </w:rPr>
      </w:pPr>
      <w:r w:rsidRPr="00766B76">
        <w:rPr>
          <w:b/>
          <w:bCs/>
          <w:color w:val="auto"/>
          <w:szCs w:val="28"/>
        </w:rPr>
        <w:t xml:space="preserve">（1） </w:t>
      </w:r>
      <w:r w:rsidRPr="00766B76">
        <w:rPr>
          <w:color w:val="auto"/>
          <w:sz w:val="24"/>
          <w:szCs w:val="24"/>
        </w:rPr>
        <w:t>針對暴力或性罪行的受害人，在向執法人員報案時，將會同時收到本章涵蓋的犯罪受害者書面權利書。如果該縣設有相關犯罪受害者/證人計劃，其書面權利書則應該包括該縣或地區的犯罪受害者/證人計劃的名稱、地址及電話號碼;</w:t>
      </w:r>
    </w:p>
    <w:p w:rsidR="00766B76" w:rsidRPr="00766B76" w:rsidP="00766B76" w14:paraId="3EDA5BEC" w14:textId="77777777">
      <w:pPr>
        <w:pStyle w:val="ListParagraph"/>
        <w:ind w:left="90"/>
        <w:rPr>
          <w:color w:val="auto"/>
          <w:sz w:val="24"/>
          <w:szCs w:val="24"/>
        </w:rPr>
      </w:pPr>
      <w:r w:rsidRPr="00766B76">
        <w:rPr>
          <w:b/>
          <w:bCs/>
          <w:color w:val="auto"/>
          <w:szCs w:val="28"/>
        </w:rPr>
        <w:t xml:space="preserve">（2） </w:t>
      </w:r>
      <w:r w:rsidRPr="00766B76">
        <w:rPr>
          <w:color w:val="auto"/>
          <w:sz w:val="24"/>
          <w:szCs w:val="24"/>
        </w:rPr>
        <w:t>由當地執法機關或檢察官向案件受害人、生還者或證人告知最終的審判結果;</w:t>
      </w:r>
    </w:p>
    <w:p w:rsidR="00766B76" w:rsidRPr="00766B76" w:rsidP="00766B76" w14:paraId="5A054706" w14:textId="77777777">
      <w:pPr>
        <w:pStyle w:val="ListParagraph"/>
        <w:ind w:left="90"/>
        <w:rPr>
          <w:color w:val="auto"/>
          <w:sz w:val="24"/>
          <w:szCs w:val="24"/>
        </w:rPr>
      </w:pPr>
      <w:r w:rsidRPr="00766B76">
        <w:rPr>
          <w:b/>
          <w:bCs/>
          <w:color w:val="auto"/>
          <w:szCs w:val="28"/>
        </w:rPr>
        <w:t xml:space="preserve">（3） </w:t>
      </w:r>
      <w:r w:rsidRPr="00766B76">
        <w:rPr>
          <w:color w:val="auto"/>
          <w:sz w:val="24"/>
          <w:szCs w:val="24"/>
        </w:rPr>
        <w:t>如傳喚開庭的時間有變動，將由發出傳票的一方負責通知，避免不必要的出庭;</w:t>
      </w:r>
    </w:p>
    <w:p w:rsidR="00766B76" w:rsidRPr="00766B76" w:rsidP="00766B76" w14:paraId="1782864D" w14:textId="21113176">
      <w:pPr>
        <w:pStyle w:val="ListParagraph"/>
        <w:ind w:left="90"/>
        <w:rPr>
          <w:color w:val="auto"/>
          <w:sz w:val="24"/>
          <w:szCs w:val="24"/>
        </w:rPr>
      </w:pPr>
      <w:r w:rsidRPr="00766B76">
        <w:rPr>
          <w:b/>
          <w:bCs/>
          <w:color w:val="auto"/>
          <w:szCs w:val="28"/>
        </w:rPr>
        <w:t xml:space="preserve">（4） </w:t>
      </w:r>
      <w:r w:rsidRPr="00766B76">
        <w:rPr>
          <w:color w:val="auto"/>
          <w:sz w:val="24"/>
          <w:szCs w:val="24"/>
        </w:rPr>
        <w:t>在與執法和起訴工作合作中獲得免受傷害和威脅的保護，並獲得有關可用保護水平的資訊;</w:t>
      </w:r>
    </w:p>
    <w:p w:rsidR="00766B76" w:rsidRPr="00766B76" w:rsidP="00766B76" w14:paraId="0566F8A4" w14:textId="77777777">
      <w:pPr>
        <w:pStyle w:val="ListParagraph"/>
        <w:ind w:left="90"/>
        <w:rPr>
          <w:color w:val="auto"/>
          <w:sz w:val="24"/>
          <w:szCs w:val="24"/>
        </w:rPr>
      </w:pPr>
      <w:r w:rsidRPr="00766B76">
        <w:rPr>
          <w:b/>
          <w:bCs/>
          <w:color w:val="auto"/>
          <w:szCs w:val="28"/>
        </w:rPr>
        <w:t xml:space="preserve">（5） </w:t>
      </w:r>
      <w:r w:rsidRPr="00766B76">
        <w:rPr>
          <w:color w:val="auto"/>
          <w:sz w:val="24"/>
          <w:szCs w:val="24"/>
        </w:rPr>
        <w:t>被告知申請和收取他們有權獲得的任何證人費應遵循的程序;</w:t>
      </w:r>
    </w:p>
    <w:p w:rsidR="002F4C73" w:rsidP="00766B76" w14:paraId="1DE4C886" w14:textId="77777777">
      <w:pPr>
        <w:pStyle w:val="ListParagraph"/>
        <w:ind w:left="90"/>
        <w:rPr>
          <w:b/>
          <w:bCs/>
          <w:color w:val="auto"/>
          <w:szCs w:val="28"/>
        </w:rPr>
      </w:pPr>
    </w:p>
    <w:p w:rsidR="00766B76" w:rsidRPr="00766B76" w:rsidP="00766B76" w14:paraId="5A5D55B0" w14:textId="1F767149">
      <w:pPr>
        <w:pStyle w:val="ListParagraph"/>
        <w:ind w:left="90"/>
        <w:rPr>
          <w:color w:val="auto"/>
          <w:sz w:val="24"/>
          <w:szCs w:val="24"/>
        </w:rPr>
      </w:pPr>
      <w:r w:rsidRPr="00766B76">
        <w:rPr>
          <w:b/>
          <w:bCs/>
          <w:color w:val="auto"/>
          <w:szCs w:val="28"/>
        </w:rPr>
        <w:t xml:space="preserve">（6） </w:t>
      </w:r>
      <w:r w:rsidRPr="00766B76">
        <w:rPr>
          <w:color w:val="auto"/>
          <w:sz w:val="24"/>
          <w:szCs w:val="24"/>
        </w:rPr>
        <w:t>在可行的情況下，在法庭審理期間提供一個安全的等候區，不需要他們靠近被告和被告的家人或朋友;</w:t>
      </w:r>
    </w:p>
    <w:p w:rsidR="00766B76" w:rsidRPr="00766B76" w:rsidP="00766B76" w14:paraId="49AD1DEC" w14:textId="77777777">
      <w:pPr>
        <w:pStyle w:val="ListParagraph"/>
        <w:ind w:left="90"/>
        <w:rPr>
          <w:color w:val="auto"/>
          <w:sz w:val="24"/>
          <w:szCs w:val="24"/>
        </w:rPr>
      </w:pPr>
      <w:r w:rsidRPr="00766B76">
        <w:rPr>
          <w:b/>
          <w:bCs/>
          <w:color w:val="auto"/>
          <w:szCs w:val="28"/>
        </w:rPr>
        <w:t xml:space="preserve">（7） </w:t>
      </w:r>
      <w:r w:rsidRPr="00766B76">
        <w:rPr>
          <w:color w:val="auto"/>
          <w:sz w:val="24"/>
          <w:szCs w:val="24"/>
        </w:rPr>
        <w:t>當被偷竊的物品或其他個人財產不再需要作為證據時，執法機關或高等法院應迅速歸還。在可行的情況下，除武器、貨幣、違禁品、需要進行證據分析的財產以及擁有權存在爭議的財產之外，其他財產均應在被沒收後的十天內拍照並歸還給所有人;</w:t>
      </w:r>
    </w:p>
    <w:p w:rsidR="00AF7DC6" w:rsidP="00766B76" w14:paraId="60578CF6" w14:textId="77777777">
      <w:pPr>
        <w:pStyle w:val="ListParagraph"/>
        <w:ind w:left="90"/>
        <w:rPr>
          <w:color w:val="auto"/>
          <w:sz w:val="24"/>
          <w:szCs w:val="24"/>
        </w:rPr>
      </w:pPr>
      <w:r w:rsidRPr="00766B76">
        <w:rPr>
          <w:b/>
          <w:bCs/>
          <w:color w:val="auto"/>
          <w:szCs w:val="28"/>
        </w:rPr>
        <w:t xml:space="preserve">（8） </w:t>
      </w:r>
      <w:r w:rsidRPr="00766B76">
        <w:rPr>
          <w:color w:val="auto"/>
          <w:sz w:val="24"/>
          <w:szCs w:val="24"/>
        </w:rPr>
        <w:t>得到適當的僱主調解服務，以確保受害者、受害者家屬和證人的僱主配合刑事司法流程，以盡量減少僱員因出庭而蒙受工資和其他福利的損失;</w:t>
      </w:r>
    </w:p>
    <w:p w:rsidR="00766B76" w:rsidRPr="00766B76" w:rsidP="00766B76" w14:paraId="1161D089" w14:textId="2BA33C9B">
      <w:pPr>
        <w:pStyle w:val="ListParagraph"/>
        <w:ind w:left="90"/>
        <w:rPr>
          <w:color w:val="auto"/>
          <w:sz w:val="24"/>
          <w:szCs w:val="24"/>
        </w:rPr>
      </w:pPr>
      <w:r>
        <w:rPr>
          <w:b/>
          <w:bCs/>
          <w:noProof/>
          <w:color w:val="auto"/>
          <w:szCs w:val="28"/>
        </w:rPr>
        <w:drawing>
          <wp:anchor distT="0" distB="0" distL="114300" distR="114300" simplePos="0" relativeHeight="251658240" behindDoc="1" locked="0" layoutInCell="1" allowOverlap="1">
            <wp:simplePos x="0" y="0"/>
            <wp:positionH relativeFrom="column">
              <wp:posOffset>619125</wp:posOffset>
            </wp:positionH>
            <wp:positionV relativeFrom="paragraph">
              <wp:posOffset>161925</wp:posOffset>
            </wp:positionV>
            <wp:extent cx="1638300" cy="1638300"/>
            <wp:effectExtent l="0" t="0" r="0" b="0"/>
            <wp:wrapTight wrapText="bothSides">
              <wp:wrapPolygon>
                <wp:start x="9293" y="502"/>
                <wp:lineTo x="5526" y="4019"/>
                <wp:lineTo x="4019" y="9042"/>
                <wp:lineTo x="1758" y="13060"/>
                <wp:lineTo x="0" y="14819"/>
                <wp:lineTo x="0" y="15823"/>
                <wp:lineTo x="3265" y="17079"/>
                <wp:lineTo x="3265" y="18586"/>
                <wp:lineTo x="4772" y="19591"/>
                <wp:lineTo x="6781" y="20093"/>
                <wp:lineTo x="14819" y="20093"/>
                <wp:lineTo x="16577" y="19591"/>
                <wp:lineTo x="18335" y="18335"/>
                <wp:lineTo x="17330" y="9042"/>
                <wp:lineTo x="16074" y="5526"/>
                <wp:lineTo x="16074" y="4521"/>
                <wp:lineTo x="13060" y="1507"/>
                <wp:lineTo x="11805" y="502"/>
                <wp:lineTo x="9293" y="502"/>
              </wp:wrapPolygon>
            </wp:wrapTight>
            <wp:docPr id="2" name="Graphic 2" descr="Judge fe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Judge female with solid fill"/>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638300" cy="1638300"/>
                    </a:xfrm>
                    <a:prstGeom prst="rect">
                      <a:avLst/>
                    </a:prstGeom>
                  </pic:spPr>
                </pic:pic>
              </a:graphicData>
            </a:graphic>
          </wp:anchor>
        </w:drawing>
      </w:r>
    </w:p>
    <w:p w:rsidR="00441849" w:rsidP="00766B76" w14:paraId="7F68F551" w14:textId="77777777">
      <w:pPr>
        <w:pStyle w:val="ListParagraph"/>
        <w:ind w:left="90"/>
        <w:rPr>
          <w:b/>
          <w:bCs/>
          <w:color w:val="auto"/>
          <w:szCs w:val="28"/>
        </w:rPr>
      </w:pPr>
    </w:p>
    <w:p w:rsidR="00441849" w:rsidP="00766B76" w14:paraId="7D88DFD7" w14:textId="77777777">
      <w:pPr>
        <w:pStyle w:val="ListParagraph"/>
        <w:ind w:left="90"/>
        <w:rPr>
          <w:b/>
          <w:bCs/>
          <w:color w:val="auto"/>
          <w:szCs w:val="28"/>
        </w:rPr>
      </w:pPr>
    </w:p>
    <w:p w:rsidR="00441849" w:rsidP="00766B76" w14:paraId="2BB9FC6F" w14:textId="77777777">
      <w:pPr>
        <w:pStyle w:val="ListParagraph"/>
        <w:ind w:left="90"/>
        <w:rPr>
          <w:b/>
          <w:bCs/>
          <w:color w:val="auto"/>
          <w:szCs w:val="28"/>
        </w:rPr>
      </w:pPr>
    </w:p>
    <w:p w:rsidR="00441849" w:rsidP="00766B76" w14:paraId="7CA5EC0A" w14:textId="77777777">
      <w:pPr>
        <w:pStyle w:val="ListParagraph"/>
        <w:ind w:left="90"/>
        <w:rPr>
          <w:b/>
          <w:bCs/>
          <w:color w:val="auto"/>
          <w:szCs w:val="28"/>
        </w:rPr>
      </w:pPr>
    </w:p>
    <w:p w:rsidR="00441849" w:rsidP="00766B76" w14:paraId="0734F96C" w14:textId="77777777">
      <w:pPr>
        <w:pStyle w:val="ListParagraph"/>
        <w:ind w:left="90"/>
        <w:rPr>
          <w:b/>
          <w:bCs/>
          <w:color w:val="auto"/>
          <w:szCs w:val="28"/>
        </w:rPr>
      </w:pPr>
    </w:p>
    <w:p w:rsidR="00441849" w:rsidP="00766B76" w14:paraId="49E0CFD0" w14:textId="77777777">
      <w:pPr>
        <w:pStyle w:val="ListParagraph"/>
        <w:ind w:left="90"/>
        <w:rPr>
          <w:b/>
          <w:bCs/>
          <w:color w:val="auto"/>
          <w:szCs w:val="28"/>
        </w:rPr>
      </w:pPr>
    </w:p>
    <w:p w:rsidR="00766B76" w:rsidRPr="00766B76" w:rsidP="00766B76" w14:paraId="7089DD86" w14:textId="16515970">
      <w:pPr>
        <w:pStyle w:val="ListParagraph"/>
        <w:ind w:left="90"/>
        <w:rPr>
          <w:color w:val="auto"/>
          <w:sz w:val="24"/>
          <w:szCs w:val="24"/>
        </w:rPr>
      </w:pPr>
      <w:r w:rsidRPr="00766B76">
        <w:rPr>
          <w:b/>
          <w:bCs/>
          <w:color w:val="auto"/>
          <w:szCs w:val="28"/>
        </w:rPr>
        <w:t>（9）</w:t>
      </w:r>
      <w:r w:rsidRPr="00766B76">
        <w:rPr>
          <w:color w:val="auto"/>
          <w:sz w:val="24"/>
          <w:szCs w:val="24"/>
        </w:rPr>
        <w:t xml:space="preserve"> 獲得即時的醫療援助，並且在進行這類援助之前，不會被執法機關拘留不合理的時間。但是，執法人員在不妨礙醫療援助的情況下，必要時可以陪同當時人前往醫療機構以詢問有關該刑事案件的問題。RCW </w:t>
      </w:r>
      <w:r w:rsidRPr="00766B76">
        <w:rPr>
          <w:rStyle w:val="Hyperlink"/>
          <w:b/>
          <w:bCs/>
          <w:color w:val="auto"/>
          <w:sz w:val="24"/>
          <w:szCs w:val="24"/>
        </w:rPr>
        <w:t>49.76.020</w:t>
      </w:r>
      <w:r>
        <w:t xml:space="preserve"> 中定義的家庭暴力、性侵害或跟蹤的受害人</w:t>
      </w:r>
      <w:r w:rsidRPr="00766B76">
        <w:rPr>
          <w:color w:val="auto"/>
          <w:sz w:val="24"/>
          <w:szCs w:val="24"/>
        </w:rPr>
        <w:t xml:space="preserve">，應被告知他們有權根據 </w:t>
      </w:r>
      <w:r w:rsidRPr="00766B76">
        <w:rPr>
          <w:color w:val="auto"/>
          <w:sz w:val="24"/>
          <w:szCs w:val="24"/>
        </w:rPr>
        <w:t xml:space="preserve">RCW </w:t>
      </w:r>
      <w:r w:rsidRPr="00766B76">
        <w:rPr>
          <w:rStyle w:val="Hyperlink"/>
          <w:b/>
          <w:bCs/>
          <w:color w:val="auto"/>
          <w:sz w:val="24"/>
          <w:szCs w:val="24"/>
        </w:rPr>
        <w:t>49.76</w:t>
      </w:r>
      <w:r>
        <w:t xml:space="preserve"> </w:t>
      </w:r>
      <w:r>
        <w:t>向僱主要求合理的休假;</w:t>
      </w:r>
    </w:p>
    <w:p w:rsidR="00766B76" w:rsidRPr="00766B76" w:rsidP="00766B76" w14:paraId="74046200" w14:textId="77777777">
      <w:pPr>
        <w:pStyle w:val="ListParagraph"/>
        <w:ind w:left="90"/>
        <w:rPr>
          <w:color w:val="auto"/>
          <w:sz w:val="24"/>
          <w:szCs w:val="24"/>
        </w:rPr>
      </w:pPr>
      <w:r w:rsidRPr="00766B76">
        <w:rPr>
          <w:b/>
          <w:bCs/>
          <w:color w:val="auto"/>
          <w:szCs w:val="28"/>
        </w:rPr>
        <w:t xml:space="preserve">（10） </w:t>
      </w:r>
      <w:r w:rsidRPr="00766B76">
        <w:rPr>
          <w:color w:val="auto"/>
          <w:sz w:val="24"/>
          <w:szCs w:val="24"/>
        </w:rPr>
        <w:t>針對暴力和性罪行的受害人，可由犯罪受害者/證人計劃的受害者辯護人或受害者所選擇的任何人, 出席與受害者的任何起訴或辯護面談，以及與針對受害者所犯下的犯罪行為相關的任何司法程序。本小節適用於,  如果可行並如果受害者辯護人或支持人不會對案件的調查或起訴造成不必要的拖延。受害者辯護人的角色是為受害人提供情感支援;</w:t>
      </w:r>
    </w:p>
    <w:p w:rsidR="00766B76" w:rsidRPr="00766B76" w:rsidP="00766B76" w14:paraId="673091CF" w14:textId="77777777">
      <w:pPr>
        <w:pStyle w:val="ListParagraph"/>
        <w:ind w:left="90"/>
        <w:rPr>
          <w:color w:val="auto"/>
          <w:sz w:val="24"/>
          <w:szCs w:val="24"/>
        </w:rPr>
      </w:pPr>
      <w:r w:rsidRPr="00766B76">
        <w:rPr>
          <w:b/>
          <w:bCs/>
          <w:color w:val="auto"/>
          <w:szCs w:val="28"/>
        </w:rPr>
        <w:t xml:space="preserve">（11） </w:t>
      </w:r>
      <w:r w:rsidRPr="00766B76">
        <w:rPr>
          <w:color w:val="auto"/>
          <w:sz w:val="24"/>
          <w:szCs w:val="24"/>
        </w:rPr>
        <w:t>關於受害人和受害的生還者，在審訊期間親自出庭或如果被傳喚作證時，應盡早在安排在訴訟程序中,    以便在作證後的審訊期間仍可親自出庭，而不僅因爲已經作證而被排除在外;</w:t>
      </w:r>
    </w:p>
    <w:p w:rsidR="00C60DC6" w:rsidP="00766B76" w14:paraId="3F30A36B" w14:textId="77777777">
      <w:pPr>
        <w:pStyle w:val="ListParagraph"/>
        <w:ind w:left="90"/>
        <w:rPr>
          <w:b/>
          <w:bCs/>
          <w:color w:val="auto"/>
          <w:szCs w:val="28"/>
        </w:rPr>
      </w:pPr>
    </w:p>
    <w:p w:rsidR="00441849" w:rsidP="00766B76" w14:paraId="17F7D37F" w14:textId="14676585">
      <w:pPr>
        <w:pStyle w:val="ListParagraph"/>
        <w:ind w:left="90"/>
        <w:rPr>
          <w:b/>
          <w:bCs/>
          <w:color w:val="auto"/>
          <w:szCs w:val="28"/>
        </w:rPr>
      </w:pPr>
    </w:p>
    <w:p w:rsidR="00C60DC6" w:rsidP="00766B76" w14:paraId="34FE334B" w14:textId="77777777">
      <w:pPr>
        <w:pStyle w:val="ListParagraph"/>
        <w:ind w:left="90"/>
        <w:rPr>
          <w:b/>
          <w:bCs/>
          <w:color w:val="auto"/>
          <w:szCs w:val="28"/>
        </w:rPr>
      </w:pPr>
    </w:p>
    <w:p w:rsidR="002F4C73" w:rsidP="00766B76" w14:paraId="67D4ACF1" w14:textId="77777777">
      <w:pPr>
        <w:pStyle w:val="ListParagraph"/>
        <w:ind w:left="90"/>
        <w:rPr>
          <w:b/>
          <w:bCs/>
          <w:color w:val="auto"/>
          <w:szCs w:val="28"/>
        </w:rPr>
      </w:pPr>
    </w:p>
    <w:p w:rsidR="002F4C73" w:rsidP="00766B76" w14:paraId="20861279" w14:textId="77777777">
      <w:pPr>
        <w:pStyle w:val="ListParagraph"/>
        <w:ind w:left="90"/>
        <w:rPr>
          <w:b/>
          <w:bCs/>
          <w:color w:val="auto"/>
          <w:szCs w:val="28"/>
        </w:rPr>
      </w:pPr>
    </w:p>
    <w:p w:rsidR="002F4C73" w:rsidP="00766B76" w14:paraId="7D4042B0" w14:textId="77777777">
      <w:pPr>
        <w:pStyle w:val="ListParagraph"/>
        <w:ind w:left="90"/>
        <w:rPr>
          <w:b/>
          <w:bCs/>
          <w:color w:val="auto"/>
          <w:szCs w:val="28"/>
        </w:rPr>
      </w:pPr>
    </w:p>
    <w:p w:rsidR="002F4C73" w:rsidP="00766B76" w14:paraId="578300C0" w14:textId="77777777">
      <w:pPr>
        <w:pStyle w:val="ListParagraph"/>
        <w:ind w:left="90"/>
        <w:rPr>
          <w:b/>
          <w:bCs/>
          <w:color w:val="auto"/>
          <w:szCs w:val="28"/>
        </w:rPr>
      </w:pPr>
    </w:p>
    <w:p w:rsidR="002F4C73" w:rsidP="00766B76" w14:paraId="1712AEDD" w14:textId="77777777">
      <w:pPr>
        <w:pStyle w:val="ListParagraph"/>
        <w:ind w:left="90"/>
        <w:rPr>
          <w:b/>
          <w:bCs/>
          <w:color w:val="auto"/>
          <w:szCs w:val="28"/>
        </w:rPr>
      </w:pPr>
    </w:p>
    <w:p w:rsidR="00766B76" w:rsidRPr="00766B76" w:rsidP="00766B76" w14:paraId="4D569D1F" w14:textId="57C0B5FE">
      <w:pPr>
        <w:pStyle w:val="ListParagraph"/>
        <w:ind w:left="90"/>
        <w:rPr>
          <w:color w:val="auto"/>
          <w:sz w:val="24"/>
          <w:szCs w:val="24"/>
        </w:rPr>
      </w:pPr>
      <w:r w:rsidRPr="00766B76">
        <w:rPr>
          <w:b/>
          <w:bCs/>
          <w:color w:val="auto"/>
          <w:szCs w:val="28"/>
        </w:rPr>
        <w:t xml:space="preserve">（12） </w:t>
      </w:r>
      <w:r w:rsidRPr="00766B76">
        <w:rPr>
          <w:color w:val="auto"/>
          <w:sz w:val="24"/>
          <w:szCs w:val="24"/>
        </w:rPr>
        <w:t>關於受害者和受害的生遦者，檢察官應根據受害者或生遦者的要求，通知其審判和重罪定罪的量刑聽證會的日期、時間和地點;</w:t>
      </w:r>
    </w:p>
    <w:p w:rsidR="00766B76" w:rsidRPr="00766B76" w:rsidP="00766B76" w14:paraId="0ED68FD2" w14:textId="7E318B1F">
      <w:pPr>
        <w:pStyle w:val="ListParagraph"/>
        <w:ind w:left="90"/>
        <w:rPr>
          <w:color w:val="auto"/>
          <w:sz w:val="24"/>
          <w:szCs w:val="24"/>
        </w:rPr>
      </w:pPr>
      <w:r w:rsidRPr="00766B76">
        <w:rPr>
          <w:b/>
          <w:bCs/>
          <w:color w:val="auto"/>
          <w:szCs w:val="28"/>
        </w:rPr>
        <w:t xml:space="preserve">（13） </w:t>
      </w:r>
      <w:r w:rsidRPr="00766B76">
        <w:rPr>
          <w:color w:val="auto"/>
          <w:sz w:val="24"/>
          <w:szCs w:val="24"/>
        </w:rPr>
        <w:t>如果提出要求，可由檢察官協助向法院提交受害者影響聲明或報告，該聲明或報告應包含在所有出庭報告中，並永久納入犯案者監禁的州行政機關或監管部門的檔案和記錄;</w:t>
      </w:r>
    </w:p>
    <w:p w:rsidR="00766B76" w:rsidRPr="00766B76" w:rsidP="00766B76" w14:paraId="585831CC" w14:textId="305A7307">
      <w:pPr>
        <w:pStyle w:val="ListParagraph"/>
        <w:ind w:left="90"/>
        <w:rPr>
          <w:color w:val="auto"/>
          <w:sz w:val="24"/>
          <w:szCs w:val="24"/>
        </w:rPr>
      </w:pPr>
      <w:r w:rsidRPr="00766B76">
        <w:rPr>
          <w:b/>
          <w:bCs/>
          <w:color w:val="auto"/>
          <w:szCs w:val="28"/>
        </w:rPr>
        <w:t xml:space="preserve">（14） </w:t>
      </w:r>
      <w:r w:rsidRPr="00766B76">
        <w:rPr>
          <w:color w:val="auto"/>
          <w:sz w:val="24"/>
          <w:szCs w:val="24"/>
        </w:rPr>
        <w:t>關於受害人和受害的生還者，在重罪定罪的量刑聽證會上可親自或者通過代表發表陳述; 以及</w:t>
      </w:r>
    </w:p>
    <w:p w:rsidR="00766B76" w:rsidRPr="00766B76" w:rsidP="00766B76" w14:paraId="4A7B3607" w14:textId="241702EF">
      <w:pPr>
        <w:pStyle w:val="ListParagraph"/>
        <w:ind w:left="90"/>
        <w:rPr>
          <w:color w:val="auto"/>
          <w:sz w:val="24"/>
          <w:szCs w:val="24"/>
        </w:rPr>
      </w:pPr>
      <w:r w:rsidRPr="00766B76">
        <w:rPr>
          <w:b/>
          <w:bCs/>
          <w:color w:val="auto"/>
          <w:szCs w:val="28"/>
        </w:rPr>
        <w:t xml:space="preserve">（15） </w:t>
      </w:r>
      <w:r w:rsidRPr="00766B76">
        <w:rPr>
          <w:color w:val="auto"/>
          <w:sz w:val="24"/>
          <w:szCs w:val="24"/>
        </w:rPr>
        <w:t>關於受害者及受害的生遦者，法院可對所有重罪案發出賠償令，即使罪犯被判處監禁，除非存在特殊情況導致法院判決不適合賠償。</w:t>
      </w:r>
    </w:p>
    <w:p w:rsidR="001E633E" w:rsidRPr="00766B76" w:rsidP="00766B76" w14:paraId="6D79BF1E" w14:textId="54AF05E6">
      <w:pPr>
        <w:pStyle w:val="ListParagraph"/>
        <w:ind w:left="90"/>
        <w:rPr>
          <w:color w:val="auto"/>
          <w:sz w:val="24"/>
          <w:szCs w:val="24"/>
        </w:rPr>
      </w:pPr>
    </w:p>
    <w:sectPr w:rsidSect="00FB3141">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92"/>
    <w:rsid w:val="00062C92"/>
    <w:rsid w:val="001E633E"/>
    <w:rsid w:val="002F4C73"/>
    <w:rsid w:val="00441849"/>
    <w:rsid w:val="00453A53"/>
    <w:rsid w:val="00766B76"/>
    <w:rsid w:val="00907C83"/>
    <w:rsid w:val="00AA5F24"/>
    <w:rsid w:val="00AF7DC6"/>
    <w:rsid w:val="00C60DC6"/>
    <w:rsid w:val="00FB31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446CBD"/>
  <w15:chartTrackingRefBased/>
  <w15:docId w15:val="{6C1E24BB-3DBD-4A8F-8E44-957A5FB6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rtl w:val="0"/>
        <w:lang w:val="en-US" w:eastAsia="zh-TW" w:bidi="ar-SA"/>
      </w:rPr>
    </w:rPrDefault>
    <w:pPrDefault>
      <w:pPr>
        <w:bidi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062C92"/>
    <w:pPr>
      <w:spacing w:after="0" w:line="276" w:lineRule="auto"/>
      <w:ind w:left="720"/>
      <w:contextualSpacing/>
    </w:pPr>
    <w:rPr>
      <w:rFonts w:eastAsiaTheme="minorEastAsia"/>
      <w:color w:val="FFFFFF" w:themeColor="background1"/>
      <w:sz w:val="28"/>
    </w:rPr>
  </w:style>
  <w:style w:type="character" w:styleId="Hyperlink">
    <w:name w:val="Hyperlink"/>
    <w:basedOn w:val="DefaultParagraphFont"/>
    <w:uiPriority w:val="99"/>
    <w:unhideWhenUsed/>
    <w:rsid w:val="00907C83"/>
    <w:rPr>
      <w:color w:val="0563C1" w:themeColor="hyperlink"/>
      <w:u w:val="single"/>
    </w:rPr>
  </w:style>
  <w:style w:type="character" w:customStyle="1" w:styleId="UnresolvedMention">
    <w:name w:val="Unresolved Mention"/>
    <w:basedOn w:val="DefaultParagraphFont"/>
    <w:uiPriority w:val="99"/>
    <w:semiHidden/>
    <w:unhideWhenUsed/>
    <w:rsid w:val="00907C83"/>
    <w:rPr>
      <w:color w:val="605E5C"/>
      <w:shd w:val="clear" w:color="auto" w:fill="E1DFDD"/>
    </w:rPr>
  </w:style>
  <w:style w:type="paragraph" w:styleId="Header">
    <w:name w:val="header"/>
    <w:basedOn w:val="Normal"/>
    <w:link w:val="HeaderChar"/>
    <w:uiPriority w:val="99"/>
    <w:unhideWhenUsed/>
    <w:rsid w:val="00766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B76"/>
  </w:style>
  <w:style w:type="paragraph" w:styleId="Footer">
    <w:name w:val="footer"/>
    <w:basedOn w:val="Normal"/>
    <w:link w:val="FooterChar"/>
    <w:uiPriority w:val="99"/>
    <w:unhideWhenUsed/>
    <w:rsid w:val="00766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svg"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svg" /><Relationship Id="rId9" Type="http://schemas.openxmlformats.org/officeDocument/2006/relationships/hyperlink" Target="https://apps.leg.wa.gov/rcw/default.aspx?cite=7.69.03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92B094980324297C8AFBE400C7343" ma:contentTypeVersion="14" ma:contentTypeDescription="Create a new document." ma:contentTypeScope="" ma:versionID="d946ad7a60e594b19d4189918af2faa1">
  <xsd:schema xmlns:xsd="http://www.w3.org/2001/XMLSchema" xmlns:xs="http://www.w3.org/2001/XMLSchema" xmlns:p="http://schemas.microsoft.com/office/2006/metadata/properties" xmlns:ns2="4b6920f3-bee2-4bb3-970f-3ebf5cf81c9f" xmlns:ns3="f95c9a14-3bb7-4bb3-844c-2c255ce98243" xmlns:ns4="2beaef9f-cf1f-479f-a374-c737fe2c05cb" targetNamespace="http://schemas.microsoft.com/office/2006/metadata/properties" ma:root="true" ma:fieldsID="29a0239f2cfeac539292777eb697e937" ns2:_="" ns3:_="" ns4:_="">
    <xsd:import namespace="4b6920f3-bee2-4bb3-970f-3ebf5cf81c9f"/>
    <xsd:import namespace="f95c9a14-3bb7-4bb3-844c-2c255ce98243"/>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920f3-bee2-4bb3-970f-3ebf5cf81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c9a14-3bb7-4bb3-844c-2c255ce982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63954ef-ac8e-4d85-922a-069151b237b1}" ma:internalName="TaxCatchAll" ma:showField="CatchAllData" ma:web="f95c9a14-3bb7-4bb3-844c-2c255ce98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6920f3-bee2-4bb3-970f-3ebf5cf81c9f">
      <Terms xmlns="http://schemas.microsoft.com/office/infopath/2007/PartnerControls"/>
    </lcf76f155ced4ddcb4097134ff3c332f>
    <TaxCatchAll xmlns="2beaef9f-cf1f-479f-a374-c737fe2c05cb" xsi:nil="true"/>
  </documentManagement>
</p:properties>
</file>

<file path=customXml/itemProps1.xml><?xml version="1.0" encoding="utf-8"?>
<ds:datastoreItem xmlns:ds="http://schemas.openxmlformats.org/officeDocument/2006/customXml" ds:itemID="{284F93F0-A639-4A94-870F-806F1351036D}"/>
</file>

<file path=customXml/itemProps2.xml><?xml version="1.0" encoding="utf-8"?>
<ds:datastoreItem xmlns:ds="http://schemas.openxmlformats.org/officeDocument/2006/customXml" ds:itemID="{C687D98E-DCC5-4383-B01A-502CAB3259C7}">
  <ds:schemaRefs/>
</ds:datastoreItem>
</file>

<file path=customXml/itemProps3.xml><?xml version="1.0" encoding="utf-8"?>
<ds:datastoreItem xmlns:ds="http://schemas.openxmlformats.org/officeDocument/2006/customXml" ds:itemID="{273A8E5C-98C6-4B82-AFE7-39B578C01146}">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McIngalls</dc:creator>
  <cp:lastModifiedBy>Colleen McIngalls</cp:lastModifiedBy>
  <cp:revision>6</cp:revision>
  <dcterms:created xsi:type="dcterms:W3CDTF">2022-06-30T16:07:00Z</dcterms:created>
  <dcterms:modified xsi:type="dcterms:W3CDTF">2022-06-30T17:50:00Z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0x01010007C92B094980324297C8AFBE400C7343</vt:lpwstr>
  </property>
</Properties>
</file>