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media/image4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5.0 -->
  <w:body>
    <w:p w:rsidR="00907C83" w:rsidP="00062C92" w14:paraId="5CAC0336" w14:textId="77777777">
      <w:pPr>
        <w:pStyle w:val="ListParagraph"/>
        <w:ind w:left="0"/>
        <w:rPr>
          <w:color w:val="auto"/>
          <w:sz w:val="72"/>
          <w:szCs w:val="52"/>
        </w:rPr>
      </w:pPr>
      <w:r>
        <w:rPr>
          <w:noProof/>
          <w:color w:val="auto"/>
          <w:sz w:val="52"/>
          <w:szCs w:val="44"/>
        </w:rPr>
        <w:drawing>
          <wp:inline distT="0" distB="0" distL="0" distR="0">
            <wp:extent cx="914400" cy="914400"/>
            <wp:effectExtent l="0" t="0" r="0" b="0"/>
            <wp:docPr id="1" name="Graphic 1" descr="Scales of justi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ales of justice outline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7C83">
        <w:rPr>
          <w:color w:val="auto"/>
          <w:sz w:val="72"/>
          <w:szCs w:val="52"/>
        </w:rPr>
        <w:t>Билль о правах, предоставленных жертвам уголовных преступлений</w:t>
      </w:r>
    </w:p>
    <w:p w:rsidR="00907C83" w:rsidRPr="00907C83" w:rsidP="00062C92" w14:paraId="52BEDFE5" w14:textId="24CED7A6">
      <w:pPr>
        <w:pStyle w:val="ListParagraph"/>
        <w:ind w:left="0"/>
        <w:rPr>
          <w:color w:val="auto"/>
          <w:sz w:val="56"/>
          <w:szCs w:val="48"/>
        </w:rPr>
      </w:pPr>
      <w:r w:rsidRPr="00907C83">
        <w:rPr>
          <w:color w:val="auto"/>
          <w:sz w:val="36"/>
          <w:szCs w:val="28"/>
        </w:rPr>
        <w:t xml:space="preserve">Будучи жертвой преступления, вы имеете следующие права, описанные в </w:t>
      </w:r>
      <w:hyperlink r:id="rId9" w:history="1">
        <w:r>
          <w:t xml:space="preserve"> </w:t>
        </w:r>
        <w:r w:rsidRPr="00907C83">
          <w:rPr>
            <w:rStyle w:val="Hyperlink"/>
            <w:sz w:val="36"/>
            <w:szCs w:val="28"/>
          </w:rPr>
          <w:t xml:space="preserve"> RCW 7.69.030.</w:t>
        </w:r>
      </w:hyperlink>
    </w:p>
    <w:p w:rsidR="00907C83" w:rsidP="00062C92" w14:paraId="04EDF1AD" w14:textId="77777777">
      <w:pPr>
        <w:pStyle w:val="ListParagraph"/>
        <w:ind w:left="0"/>
        <w:rPr>
          <w:color w:val="auto"/>
          <w:sz w:val="24"/>
          <w:szCs w:val="20"/>
        </w:rPr>
      </w:pPr>
    </w:p>
    <w:p w:rsidR="00907C83" w:rsidP="00062C92" w14:paraId="4524F203" w14:textId="3565294B">
      <w:pPr>
        <w:pStyle w:val="ListParagraph"/>
        <w:ind w:left="0"/>
        <w:rPr>
          <w:color w:val="auto"/>
          <w:sz w:val="24"/>
          <w:szCs w:val="20"/>
        </w:r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66B76" w:rsidRPr="00766B76" w:rsidP="00766B76" w14:paraId="1C45DA74" w14:textId="77777777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(1) </w:t>
      </w:r>
      <w:r w:rsidRPr="00766B76">
        <w:rPr>
          <w:color w:val="auto"/>
          <w:sz w:val="24"/>
          <w:szCs w:val="24"/>
        </w:rPr>
        <w:t xml:space="preserve"> Жертвы преступлений, совершенных на насильственной или сексуальной почве, имеют право получить письменный документ о правах жертв преступления, описываемых в этой главе, в момент заявления о преступлении правоохранительным органам. Письменный документ должен включать в себя имя, адрес и телефон местной или окружной программы по работе с пострадавшими/свидетелями, в случае если подобная программа по работе с пострадавшими/свидетелями существует в данном округе;</w:t>
      </w:r>
    </w:p>
    <w:p w:rsidR="00766B76" w:rsidRPr="00766B76" w:rsidP="00766B76" w14:paraId="3EDA5BEC" w14:textId="77777777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(2) </w:t>
      </w:r>
      <w:r w:rsidRPr="00766B76">
        <w:rPr>
          <w:color w:val="auto"/>
          <w:sz w:val="24"/>
          <w:szCs w:val="24"/>
        </w:rPr>
        <w:t xml:space="preserve"> Право на получение последней информации от правоохранительных органов или прокурора об окончательном решении дела, в которое были вовлечены жертва, пострадавший, или свидетель;</w:t>
      </w:r>
    </w:p>
    <w:p w:rsidR="00766B76" w:rsidRPr="00766B76" w:rsidP="00766B76" w14:paraId="5A054706" w14:textId="77777777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(3) </w:t>
      </w:r>
      <w:r w:rsidRPr="00766B76">
        <w:rPr>
          <w:color w:val="auto"/>
          <w:sz w:val="24"/>
          <w:szCs w:val="24"/>
        </w:rPr>
        <w:t xml:space="preserve"> Право на уведомление от выдавшей повестку стороны, о том, что судебное разбирательство, в котором они задействованы, не состоится в назначенные сроки, чтобы человек не совершал ненужные поездки в суд;</w:t>
      </w:r>
    </w:p>
    <w:p w:rsidR="00766B76" w:rsidRPr="00766B76" w:rsidP="00766B76" w14:paraId="1782864D" w14:textId="21113176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(4) </w:t>
      </w:r>
      <w:r w:rsidRPr="00766B76">
        <w:rPr>
          <w:color w:val="auto"/>
          <w:sz w:val="24"/>
          <w:szCs w:val="24"/>
        </w:rPr>
        <w:t xml:space="preserve"> Право на защиту от причинения вреда и угроз причинения вреда, возникших в результате сотрудничества с правоохранительными органами и прокуратурой и на получение информации о степени предоставляемой защиты;</w:t>
      </w:r>
    </w:p>
    <w:p w:rsidR="00766B76" w:rsidRPr="00766B76" w:rsidP="00766B76" w14:paraId="0566F8A4" w14:textId="77777777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(5) </w:t>
      </w:r>
      <w:r w:rsidRPr="00766B76">
        <w:rPr>
          <w:color w:val="auto"/>
          <w:sz w:val="24"/>
          <w:szCs w:val="24"/>
        </w:rPr>
        <w:t xml:space="preserve"> Право на получение информации о том, как правильно подавать заявление на любое предусмотренное возмещение расходов свидетеля по явке, на которые они имеют право;</w:t>
      </w:r>
    </w:p>
    <w:p w:rsidR="002F4C73" w:rsidP="00766B76" w14:paraId="1DE4C886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766B76" w:rsidRPr="00766B76" w:rsidP="00766B76" w14:paraId="5A5D55B0" w14:textId="1F767149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(6) </w:t>
      </w:r>
      <w:r w:rsidRPr="00766B76">
        <w:rPr>
          <w:color w:val="auto"/>
          <w:sz w:val="24"/>
          <w:szCs w:val="24"/>
        </w:rPr>
        <w:t xml:space="preserve"> Право на получение безопасной зоны ожидания, которая не вынуждает их находиться в непосредственной близости от подсудимых и их семей или друзей в тех случаях, когда это целесообразно;</w:t>
      </w:r>
    </w:p>
    <w:p w:rsidR="00766B76" w:rsidRPr="00766B76" w:rsidP="00766B76" w14:paraId="49AD1DEC" w14:textId="77777777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(7) </w:t>
      </w:r>
      <w:r w:rsidRPr="00766B76">
        <w:rPr>
          <w:color w:val="auto"/>
          <w:sz w:val="24"/>
          <w:szCs w:val="24"/>
        </w:rPr>
        <w:t xml:space="preserve"> Право на скорейший возврат любого украденного или другого личного имущества правоохранительными органами или вышестоящим судом если оно больше не требуется в качестве доказательства. По возможности, данное имущество, за исключением оружия, валюты, контрабанды, имущества, подлежащего доказательственному анализу, и имущества, право собственности на которое оспаривается, должно быть сфотографировано и возвращено владельцу в течение десяти дней после изъятия;</w:t>
      </w:r>
    </w:p>
    <w:p w:rsidR="00AF7DC6" w:rsidP="00766B76" w14:paraId="60578CF6" w14:textId="77777777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(8) </w:t>
      </w:r>
      <w:r w:rsidRPr="00766B76">
        <w:rPr>
          <w:color w:val="auto"/>
          <w:sz w:val="24"/>
          <w:szCs w:val="24"/>
        </w:rPr>
        <w:t>Право на предоставление соответствующих услуг по заступничеству работодателя для обеспечения того, чтобы работодатели жертв, переживших жертв и свидетелей преступлений сотрудничали с уголовным правосудием с целью минимизации потери работником заработной платы и других льгот в результате явки в суд;</w:t>
      </w:r>
    </w:p>
    <w:p w:rsidR="00766B76" w:rsidRPr="00766B76" w:rsidP="00766B76" w14:paraId="1161D089" w14:textId="2BA33C9B">
      <w:pPr>
        <w:pStyle w:val="ListParagraph"/>
        <w:ind w:left="90"/>
        <w:rPr>
          <w:color w:val="auto"/>
          <w:sz w:val="24"/>
          <w:szCs w:val="24"/>
        </w:rPr>
      </w:pPr>
      <w:r>
        <w:rPr>
          <w:b/>
          <w:bCs/>
          <w:noProof/>
          <w:color w:val="auto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161925</wp:posOffset>
            </wp:positionV>
            <wp:extent cx="1638300" cy="1638300"/>
            <wp:effectExtent l="0" t="0" r="0" b="0"/>
            <wp:wrapTight wrapText="bothSides">
              <wp:wrapPolygon>
                <wp:start x="9293" y="502"/>
                <wp:lineTo x="5526" y="4019"/>
                <wp:lineTo x="4019" y="9042"/>
                <wp:lineTo x="1758" y="13060"/>
                <wp:lineTo x="0" y="14819"/>
                <wp:lineTo x="0" y="15823"/>
                <wp:lineTo x="3265" y="17079"/>
                <wp:lineTo x="3265" y="18586"/>
                <wp:lineTo x="4772" y="19591"/>
                <wp:lineTo x="6781" y="20093"/>
                <wp:lineTo x="14819" y="20093"/>
                <wp:lineTo x="16577" y="19591"/>
                <wp:lineTo x="18335" y="18335"/>
                <wp:lineTo x="17330" y="9042"/>
                <wp:lineTo x="16074" y="5526"/>
                <wp:lineTo x="16074" y="4521"/>
                <wp:lineTo x="13060" y="1507"/>
                <wp:lineTo x="11805" y="502"/>
                <wp:lineTo x="9293" y="502"/>
              </wp:wrapPolygon>
            </wp:wrapTight>
            <wp:docPr id="2" name="Graphic 2" descr="Judge fema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Judge female with solid fill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849" w:rsidP="00766B76" w14:paraId="7F68F551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441849" w:rsidP="00766B76" w14:paraId="7D88DFD7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441849" w:rsidP="00766B76" w14:paraId="2BB9FC6F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441849" w:rsidP="00766B76" w14:paraId="7CA5EC0A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441849" w:rsidP="00766B76" w14:paraId="0734F96C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441849" w:rsidP="00766B76" w14:paraId="49E0CFD0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766B76" w:rsidRPr="00766B76" w:rsidP="00766B76" w14:paraId="7089DD86" w14:textId="16515970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(9) </w:t>
      </w:r>
      <w:r w:rsidRPr="00766B76">
        <w:rPr>
          <w:color w:val="auto"/>
          <w:sz w:val="24"/>
          <w:szCs w:val="24"/>
        </w:rPr>
        <w:t xml:space="preserve"> Право на получение срочной медицинской помощи и право не быть задержанным на необоснованный срок правоохранительным органом до оказания такой помощи. Однако сотрудник правоохранительного органа может, при необходимости, сопровождать человека в медицинское учреждение для допроса о преступном инциденте, если этот допрос не препятствует оказанию медицинской помощи. Жертвы домашнего насилия, сексуального нападения или преследования, как определено в RCW </w:t>
      </w:r>
      <w:hyperlink r:id="rId12" w:history="1">
        <w:r>
          <w:t xml:space="preserve"> </w:t>
        </w:r>
        <w:r w:rsidRPr="00766B76">
          <w:rPr>
            <w:rStyle w:val="Hyperlink"/>
            <w:b/>
            <w:bCs/>
            <w:color w:val="auto"/>
            <w:sz w:val="24"/>
            <w:szCs w:val="24"/>
          </w:rPr>
          <w:t xml:space="preserve"> 49.76.020</w:t>
        </w:r>
      </w:hyperlink>
      <w:r>
        <w:t xml:space="preserve"> </w:t>
      </w:r>
      <w:r w:rsidRPr="00766B76">
        <w:rPr>
          <w:color w:val="auto"/>
          <w:sz w:val="24"/>
          <w:szCs w:val="24"/>
        </w:rPr>
        <w:t xml:space="preserve"> , должны быть уведомлены о своем праве на приемлемый отпуск на работе согласно главе </w:t>
      </w:r>
      <w:hyperlink r:id="rId13" w:history="1">
        <w:r>
          <w:t xml:space="preserve"> </w:t>
        </w:r>
        <w:r w:rsidRPr="00766B76">
          <w:rPr>
            <w:rStyle w:val="Hyperlink"/>
            <w:b/>
            <w:bCs/>
            <w:color w:val="auto"/>
            <w:sz w:val="24"/>
            <w:szCs w:val="24"/>
          </w:rPr>
          <w:t xml:space="preserve"> 49.76</w:t>
        </w:r>
      </w:hyperlink>
      <w:r>
        <w:t xml:space="preserve"> </w:t>
      </w:r>
      <w:r w:rsidRPr="00766B76">
        <w:rPr>
          <w:color w:val="auto"/>
          <w:sz w:val="24"/>
          <w:szCs w:val="24"/>
        </w:rPr>
        <w:t xml:space="preserve">  RCW;</w:t>
      </w:r>
    </w:p>
    <w:p w:rsidR="00766B76" w:rsidRPr="00766B76" w:rsidP="00766B76" w14:paraId="74046200" w14:textId="77777777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(10) </w:t>
      </w:r>
      <w:r w:rsidRPr="00766B76">
        <w:rPr>
          <w:color w:val="auto"/>
          <w:sz w:val="24"/>
          <w:szCs w:val="24"/>
        </w:rPr>
        <w:t xml:space="preserve"> Жертвы преступлений, совершенных на насильственной или сексуальной почве, имеют право на присутствие заступника из программы по работе с жертвой/свидетелем преступления или любого другого вспомогательного лица по выбору жертвы на любых интервью с жертвой со стороны обвинения или защиты, а также на любых судебных разбирательствах, связанных с преступными действиями, совершенными против жертвы. Нормы данного подраздела применяются, если это целесообразно и если присутствие заступника или лица, оказывающего поддержку, не вызывает ненужных задержек в расследовании или судебном разбирательстве дела. Роль заступника  заключается в оказании эмоциональной поддержки жертве преступления;</w:t>
      </w:r>
    </w:p>
    <w:p w:rsidR="00766B76" w:rsidRPr="00766B76" w:rsidP="00766B76" w14:paraId="673091CF" w14:textId="77777777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(11) </w:t>
      </w:r>
      <w:r w:rsidRPr="00766B76">
        <w:rPr>
          <w:color w:val="auto"/>
          <w:sz w:val="24"/>
          <w:szCs w:val="24"/>
        </w:rPr>
        <w:t xml:space="preserve"> лица, пережившие жертв, имеют право физически присутствовать в суде во время судебного разбирательства или, если они вызваны в суд для дачи показаний, право на включение данных показаний как можно раньше в ходе разбирательства, чтобы они смогли физически присутствовать в суде после дачи показаний и не быть исключенными из процесса только потому, что они дали показания;</w:t>
      </w:r>
    </w:p>
    <w:p w:rsidR="00C60DC6" w:rsidP="00766B76" w14:paraId="3F30A36B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441849" w:rsidP="00766B76" w14:paraId="17F7D37F" w14:textId="14676585">
      <w:pPr>
        <w:pStyle w:val="ListParagraph"/>
        <w:ind w:left="90"/>
        <w:rPr>
          <w:b/>
          <w:bCs/>
          <w:color w:val="auto"/>
          <w:szCs w:val="28"/>
        </w:rPr>
      </w:pPr>
    </w:p>
    <w:p w:rsidR="00C60DC6" w:rsidP="00766B76" w14:paraId="34FE334B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2F4C73" w:rsidP="00766B76" w14:paraId="67D4ACF1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2F4C73" w:rsidP="00766B76" w14:paraId="20861279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2F4C73" w:rsidP="00766B76" w14:paraId="7D4042B0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2F4C73" w:rsidP="00766B76" w14:paraId="578300C0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2F4C73" w:rsidP="00766B76" w14:paraId="1712AEDD" w14:textId="77777777">
      <w:pPr>
        <w:pStyle w:val="ListParagraph"/>
        <w:ind w:left="90"/>
        <w:rPr>
          <w:b/>
          <w:bCs/>
          <w:color w:val="auto"/>
          <w:szCs w:val="28"/>
        </w:rPr>
      </w:pPr>
    </w:p>
    <w:p w:rsidR="00766B76" w:rsidRPr="00766B76" w:rsidP="00766B76" w14:paraId="4D569D1F" w14:textId="57C0B5FE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(12) </w:t>
      </w:r>
      <w:r w:rsidRPr="00766B76">
        <w:rPr>
          <w:color w:val="auto"/>
          <w:sz w:val="24"/>
          <w:szCs w:val="24"/>
        </w:rPr>
        <w:t xml:space="preserve"> Жертвы и лица, пережившие жертв, имеют право на информацию от прокурора о дате, времени и месте судебного разбирательства и стадии вынесения приговора по уголовному делу в случае поступления соответствующей просьбы от жертвы или лиц, переживших жертв;</w:t>
      </w:r>
    </w:p>
    <w:p w:rsidR="00766B76" w:rsidRPr="00766B76" w:rsidP="00766B76" w14:paraId="0ED68FD2" w14:textId="7E318B1F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(13) </w:t>
      </w:r>
      <w:r w:rsidRPr="00766B76">
        <w:rPr>
          <w:color w:val="auto"/>
          <w:sz w:val="24"/>
          <w:szCs w:val="24"/>
        </w:rPr>
        <w:t xml:space="preserve"> Право подать в суд заявление с описанием того, как преступление повлияло на жизнь жертвы, и на приобщение данного заявления к всем предварительным отчетам перед вынесением приговора, а также во все отчеты, сопровождающие правонарушителя, когда он помещен в государственное агентство или учреждение, и получить при этом помощь со стороны прокурора, по запросу;</w:t>
      </w:r>
    </w:p>
    <w:p w:rsidR="00766B76" w:rsidRPr="00766B76" w:rsidP="00766B76" w14:paraId="585831CC" w14:textId="305A7307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(14) </w:t>
      </w:r>
      <w:r w:rsidRPr="00766B76">
        <w:rPr>
          <w:color w:val="auto"/>
          <w:sz w:val="24"/>
          <w:szCs w:val="24"/>
        </w:rPr>
        <w:t>Жертвы и лица, пережившие жертв, имеют право лично или через представителя выступить с заявлением на слушаниях по вынесению приговора по уголовным делам на уровне фелонии; и</w:t>
      </w:r>
    </w:p>
    <w:p w:rsidR="00766B76" w:rsidRPr="00766B76" w:rsidP="00766B76" w14:paraId="4A7B3607" w14:textId="241702EF">
      <w:pPr>
        <w:pStyle w:val="ListParagraph"/>
        <w:ind w:left="90"/>
        <w:rPr>
          <w:color w:val="auto"/>
          <w:sz w:val="24"/>
          <w:szCs w:val="24"/>
        </w:rPr>
      </w:pPr>
      <w:r w:rsidRPr="00766B76">
        <w:rPr>
          <w:b/>
          <w:bCs/>
          <w:color w:val="auto"/>
          <w:szCs w:val="28"/>
        </w:rPr>
        <w:t xml:space="preserve">(15) </w:t>
      </w:r>
      <w:r w:rsidRPr="00766B76">
        <w:rPr>
          <w:color w:val="auto"/>
          <w:sz w:val="24"/>
          <w:szCs w:val="24"/>
        </w:rPr>
        <w:t xml:space="preserve"> Жертвы и лица, пережившие жертв, имеют право на вынесение судом постановления о реституции по всем уголовным делам на уровне фелонии, даже если преступник приговорен к тюремному заключению, если только не существуют чрезвычайные обстоятельства, которые, по мнению суда, делают реституцию неуместной.</w:t>
      </w:r>
    </w:p>
    <w:p w:rsidR="001E633E" w:rsidRPr="00766B76" w:rsidP="00766B76" w14:paraId="6D79BF1E" w14:textId="54AF05E6">
      <w:pPr>
        <w:pStyle w:val="ListParagraph"/>
        <w:ind w:left="90"/>
        <w:rPr>
          <w:color w:val="auto"/>
          <w:sz w:val="24"/>
          <w:szCs w:val="24"/>
        </w:rPr>
      </w:pPr>
    </w:p>
    <w:sectPr w:rsidSect="00FB314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92"/>
    <w:rsid w:val="00062C92"/>
    <w:rsid w:val="001E633E"/>
    <w:rsid w:val="002F4C73"/>
    <w:rsid w:val="00441849"/>
    <w:rsid w:val="00453A53"/>
    <w:rsid w:val="00766B76"/>
    <w:rsid w:val="00907C83"/>
    <w:rsid w:val="00AA5F24"/>
    <w:rsid w:val="00AF7DC6"/>
    <w:rsid w:val="00C60DC6"/>
    <w:rsid w:val="00FB314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446CBD"/>
  <w15:chartTrackingRefBased/>
  <w15:docId w15:val="{6C1E24BB-3DBD-4A8F-8E44-957A5FB6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rtl w:val="0"/>
        <w:lang w:val="ru-RU" w:eastAsia="en-US" w:bidi="ar-SA"/>
      </w:rPr>
    </w:rPrDefault>
    <w:pPrDefault>
      <w:pPr>
        <w:bidi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062C92"/>
    <w:pPr>
      <w:spacing w:after="0" w:line="276" w:lineRule="auto"/>
      <w:ind w:left="720"/>
      <w:contextualSpacing/>
    </w:pPr>
    <w:rPr>
      <w:rFonts w:eastAsiaTheme="minorEastAsia"/>
      <w:color w:val="FFFFFF" w:themeColor="background1"/>
      <w:sz w:val="28"/>
    </w:rPr>
  </w:style>
  <w:style w:type="character" w:styleId="Hyperlink">
    <w:name w:val="Hyperlink"/>
    <w:basedOn w:val="DefaultParagraphFont"/>
    <w:uiPriority w:val="99"/>
    <w:unhideWhenUsed/>
    <w:rsid w:val="00907C8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7C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6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B76"/>
  </w:style>
  <w:style w:type="paragraph" w:styleId="Footer">
    <w:name w:val="footer"/>
    <w:basedOn w:val="Normal"/>
    <w:link w:val="FooterChar"/>
    <w:uiPriority w:val="99"/>
    <w:unhideWhenUsed/>
    <w:rsid w:val="00766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svg" /><Relationship Id="rId12" Type="http://schemas.openxmlformats.org/officeDocument/2006/relationships/hyperlink" Target="http://app.leg.wa.gov/RCW/default.aspx?cite=49.76.020" TargetMode="External" /><Relationship Id="rId13" Type="http://schemas.openxmlformats.org/officeDocument/2006/relationships/hyperlink" Target="http://app.leg.wa.gov/RCW/default.aspx?cite=49.76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svg" /><Relationship Id="rId9" Type="http://schemas.openxmlformats.org/officeDocument/2006/relationships/hyperlink" Target="https://apps.leg.wa.gov/rcw/default.aspx?cite=7.69.03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92B094980324297C8AFBE400C7343" ma:contentTypeVersion="14" ma:contentTypeDescription="Create a new document." ma:contentTypeScope="" ma:versionID="d946ad7a60e594b19d4189918af2faa1">
  <xsd:schema xmlns:xsd="http://www.w3.org/2001/XMLSchema" xmlns:xs="http://www.w3.org/2001/XMLSchema" xmlns:p="http://schemas.microsoft.com/office/2006/metadata/properties" xmlns:ns2="4b6920f3-bee2-4bb3-970f-3ebf5cf81c9f" xmlns:ns3="f95c9a14-3bb7-4bb3-844c-2c255ce98243" xmlns:ns4="2beaef9f-cf1f-479f-a374-c737fe2c05cb" targetNamespace="http://schemas.microsoft.com/office/2006/metadata/properties" ma:root="true" ma:fieldsID="29a0239f2cfeac539292777eb697e937" ns2:_="" ns3:_="" ns4:_="">
    <xsd:import namespace="4b6920f3-bee2-4bb3-970f-3ebf5cf81c9f"/>
    <xsd:import namespace="f95c9a14-3bb7-4bb3-844c-2c255ce98243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920f3-bee2-4bb3-970f-3ebf5cf81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c9a14-3bb7-4bb3-844c-2c255ce982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63954ef-ac8e-4d85-922a-069151b237b1}" ma:internalName="TaxCatchAll" ma:showField="CatchAllData" ma:web="f95c9a14-3bb7-4bb3-844c-2c255ce982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6920f3-bee2-4bb3-970f-3ebf5cf81c9f">
      <Terms xmlns="http://schemas.microsoft.com/office/infopath/2007/PartnerControls"/>
    </lcf76f155ced4ddcb4097134ff3c332f>
    <TaxCatchAll xmlns="2beaef9f-cf1f-479f-a374-c737fe2c05cb" xsi:nil="true"/>
  </documentManagement>
</p:properties>
</file>

<file path=customXml/itemProps1.xml><?xml version="1.0" encoding="utf-8"?>
<ds:datastoreItem xmlns:ds="http://schemas.openxmlformats.org/officeDocument/2006/customXml" ds:itemID="{ED7EEBA6-27D3-412E-ACF8-6801A15F2F35}"/>
</file>

<file path=customXml/itemProps2.xml><?xml version="1.0" encoding="utf-8"?>
<ds:datastoreItem xmlns:ds="http://schemas.openxmlformats.org/officeDocument/2006/customXml" ds:itemID="{C687D98E-DCC5-4383-B01A-502CAB3259C7}">
  <ds:schemaRefs/>
</ds:datastoreItem>
</file>

<file path=customXml/itemProps3.xml><?xml version="1.0" encoding="utf-8"?>
<ds:datastoreItem xmlns:ds="http://schemas.openxmlformats.org/officeDocument/2006/customXml" ds:itemID="{273A8E5C-98C6-4B82-AFE7-39B578C011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McIngalls</dc:creator>
  <cp:lastModifiedBy>Colleen McIngalls</cp:lastModifiedBy>
  <cp:revision>6</cp:revision>
  <dcterms:created xsi:type="dcterms:W3CDTF">2022-06-30T16:07:00Z</dcterms:created>
  <dcterms:modified xsi:type="dcterms:W3CDTF">2022-06-30T17:50:00Z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0x01010007C92B094980324297C8AFBE400C7343</vt:lpwstr>
  </property>
</Properties>
</file>