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E30E" w14:textId="60EA54B0" w:rsidR="00C84A0B" w:rsidRPr="00C84A0B" w:rsidRDefault="00EE44F8" w:rsidP="0990E82F">
      <w:pPr>
        <w:jc w:val="center"/>
        <w:rPr>
          <w:b/>
          <w:bCs/>
          <w:sz w:val="32"/>
          <w:szCs w:val="32"/>
        </w:rPr>
      </w:pPr>
      <w:r>
        <w:rPr>
          <w:b/>
          <w:bCs/>
          <w:sz w:val="32"/>
          <w:szCs w:val="32"/>
          <w:lang w:val="es"/>
        </w:rPr>
        <w:t xml:space="preserve">AVISO DE DESALOJO DE 120 DÍAS </w:t>
      </w:r>
    </w:p>
    <w:p w14:paraId="3BF430B1" w14:textId="1C979096" w:rsidR="00656F7F" w:rsidRPr="00C84A0B" w:rsidRDefault="006F1898" w:rsidP="0990E82F">
      <w:pPr>
        <w:jc w:val="center"/>
        <w:rPr>
          <w:b/>
          <w:bCs/>
          <w:sz w:val="32"/>
          <w:szCs w:val="32"/>
        </w:rPr>
      </w:pPr>
      <w:r>
        <w:rPr>
          <w:b/>
          <w:bCs/>
          <w:sz w:val="32"/>
          <w:szCs w:val="32"/>
          <w:lang w:val="es"/>
        </w:rPr>
        <w:t>DEBIDO A UNA REFACCIÓN SUSTANCIAL DE LA VIVIENDA</w:t>
      </w:r>
    </w:p>
    <w:p w14:paraId="6914EC3D" w14:textId="466CF9E8" w:rsidR="003A1A94" w:rsidRPr="00B1203A" w:rsidRDefault="003A1A94" w:rsidP="003A1A94">
      <w:pPr>
        <w:rPr>
          <w:rFonts w:ascii="Calibri" w:eastAsia="Calibri" w:hAnsi="Calibri" w:cs="Calibri"/>
          <w:color w:val="000000" w:themeColor="text1"/>
          <w:sz w:val="24"/>
          <w:szCs w:val="24"/>
        </w:rPr>
      </w:pPr>
      <w:r>
        <w:rPr>
          <w:rFonts w:ascii="Calibri" w:hAnsi="Calibri"/>
          <w:color w:val="000000" w:themeColor="text1"/>
          <w:sz w:val="24"/>
          <w:szCs w:val="24"/>
          <w:lang w:val="es"/>
        </w:rPr>
        <w:t>Fecha del aviso: __________________________</w:t>
      </w:r>
      <w:r w:rsidR="001E137F">
        <w:rPr>
          <w:rFonts w:ascii="Calibri" w:hAnsi="Calibri"/>
          <w:color w:val="000000" w:themeColor="text1"/>
          <w:sz w:val="24"/>
          <w:szCs w:val="24"/>
          <w:lang w:val="es"/>
        </w:rPr>
        <w:t>______</w:t>
      </w:r>
      <w:r>
        <w:rPr>
          <w:rFonts w:ascii="Calibri" w:hAnsi="Calibri"/>
          <w:color w:val="000000" w:themeColor="text1"/>
          <w:sz w:val="24"/>
          <w:szCs w:val="24"/>
          <w:lang w:val="es"/>
        </w:rPr>
        <w:t>__</w:t>
      </w:r>
      <w:r>
        <w:rPr>
          <w:rFonts w:ascii="Calibri" w:hAnsi="Calibri"/>
          <w:color w:val="000000" w:themeColor="text1"/>
          <w:sz w:val="24"/>
          <w:szCs w:val="24"/>
          <w:lang w:val="es"/>
        </w:rPr>
        <w:br/>
        <w:t>Nombre del inquilino: ____________________</w:t>
      </w:r>
      <w:r w:rsidR="001E137F">
        <w:rPr>
          <w:rFonts w:ascii="Calibri" w:hAnsi="Calibri"/>
          <w:color w:val="000000" w:themeColor="text1"/>
          <w:sz w:val="24"/>
          <w:szCs w:val="24"/>
          <w:lang w:val="es"/>
        </w:rPr>
        <w:t>_</w:t>
      </w:r>
      <w:r>
        <w:rPr>
          <w:rFonts w:ascii="Calibri" w:hAnsi="Calibri"/>
          <w:color w:val="000000" w:themeColor="text1"/>
          <w:sz w:val="24"/>
          <w:szCs w:val="24"/>
          <w:lang w:val="es"/>
        </w:rPr>
        <w:t>________</w:t>
      </w:r>
      <w:r>
        <w:rPr>
          <w:rFonts w:ascii="Calibri" w:hAnsi="Calibri"/>
          <w:sz w:val="24"/>
          <w:szCs w:val="24"/>
          <w:lang w:val="es"/>
        </w:rPr>
        <w:br/>
      </w:r>
      <w:r>
        <w:rPr>
          <w:rFonts w:ascii="Calibri" w:hAnsi="Calibri"/>
          <w:color w:val="000000" w:themeColor="text1"/>
          <w:sz w:val="24"/>
          <w:szCs w:val="24"/>
          <w:lang w:val="es"/>
        </w:rPr>
        <w:t>Dirección del inquilino: ____________________________</w:t>
      </w:r>
    </w:p>
    <w:p w14:paraId="373A9753" w14:textId="56AC8401" w:rsidR="00A84E09" w:rsidRPr="00762C2D" w:rsidRDefault="00A84E09" w:rsidP="0990E82F">
      <w:pPr>
        <w:jc w:val="center"/>
        <w:rPr>
          <w:b/>
          <w:bCs/>
          <w:i/>
          <w:iCs/>
          <w:sz w:val="28"/>
          <w:szCs w:val="28"/>
          <w:u w:val="single"/>
        </w:rPr>
      </w:pPr>
      <w:r>
        <w:rPr>
          <w:b/>
          <w:bCs/>
          <w:i/>
          <w:iCs/>
          <w:sz w:val="28"/>
          <w:szCs w:val="28"/>
          <w:u w:val="single"/>
          <w:lang w:val="es"/>
        </w:rPr>
        <w:t>ESTE ES UN AVISO DE DESALOJO</w:t>
      </w:r>
    </w:p>
    <w:p w14:paraId="73931390" w14:textId="5DBC146E" w:rsidR="004222D7" w:rsidRDefault="00520928" w:rsidP="001E137F">
      <w:pPr>
        <w:ind w:right="-180"/>
        <w:rPr>
          <w:b/>
          <w:bCs/>
          <w:sz w:val="32"/>
          <w:szCs w:val="32"/>
        </w:rPr>
      </w:pPr>
      <w:r>
        <w:rPr>
          <w:b/>
          <w:bCs/>
          <w:sz w:val="32"/>
          <w:szCs w:val="32"/>
          <w:lang w:val="es"/>
        </w:rPr>
        <w:t xml:space="preserve">Según la normativa 12.25.030(A)(5) del King County Code </w:t>
      </w:r>
      <w:r w:rsidR="001E137F">
        <w:rPr>
          <w:b/>
          <w:bCs/>
          <w:sz w:val="32"/>
          <w:szCs w:val="32"/>
          <w:lang w:val="es"/>
        </w:rPr>
        <w:br/>
      </w:r>
      <w:r>
        <w:rPr>
          <w:b/>
          <w:bCs/>
          <w:sz w:val="32"/>
          <w:szCs w:val="32"/>
          <w:lang w:val="es"/>
        </w:rPr>
        <w:t>(KCC, Código del Condado de King), el propietario le da 120 días para que deje la vivienda de alquiler debido a que hará reparaciones importantes que no pueden llevarse a cabo si la vivienda está ocupada.</w:t>
      </w:r>
    </w:p>
    <w:p w14:paraId="34DC4BB9" w14:textId="7032C81D" w:rsidR="00C84A0B" w:rsidRPr="00DD2E63" w:rsidRDefault="00C84A0B" w:rsidP="38E01309">
      <w:pPr>
        <w:rPr>
          <w:i/>
          <w:iCs/>
          <w:sz w:val="32"/>
          <w:szCs w:val="32"/>
        </w:rPr>
      </w:pPr>
      <w:r>
        <w:rPr>
          <w:b/>
          <w:bCs/>
          <w:sz w:val="32"/>
          <w:szCs w:val="32"/>
          <w:lang w:val="es"/>
        </w:rPr>
        <w:t xml:space="preserve">Debe dejar la vivienda antes del </w:t>
      </w:r>
      <w:r>
        <w:rPr>
          <w:rFonts w:ascii="Calibri" w:hAnsi="Calibri"/>
          <w:b/>
          <w:bCs/>
          <w:color w:val="000000" w:themeColor="text1"/>
          <w:sz w:val="32"/>
          <w:szCs w:val="32"/>
          <w:lang w:val="es"/>
        </w:rPr>
        <w:t>_______ (DATE).</w:t>
      </w:r>
      <w:r>
        <w:rPr>
          <w:rFonts w:ascii="Calibri" w:hAnsi="Calibri"/>
          <w:color w:val="000000" w:themeColor="text1"/>
          <w:sz w:val="32"/>
          <w:szCs w:val="32"/>
          <w:lang w:val="es"/>
        </w:rPr>
        <w:t xml:space="preserve"> </w:t>
      </w:r>
      <w:r>
        <w:rPr>
          <w:rFonts w:ascii="Calibri" w:hAnsi="Calibri"/>
          <w:i/>
          <w:iCs/>
          <w:color w:val="000000" w:themeColor="text1"/>
          <w:sz w:val="32"/>
          <w:szCs w:val="32"/>
          <w:lang w:val="es"/>
        </w:rPr>
        <w:t xml:space="preserve">La fecha límite </w:t>
      </w:r>
      <w:r w:rsidR="001E137F">
        <w:rPr>
          <w:rFonts w:ascii="Calibri" w:hAnsi="Calibri"/>
          <w:i/>
          <w:iCs/>
          <w:color w:val="000000" w:themeColor="text1"/>
          <w:sz w:val="32"/>
          <w:szCs w:val="32"/>
          <w:lang w:val="es"/>
        </w:rPr>
        <w:br/>
      </w:r>
      <w:r>
        <w:rPr>
          <w:rFonts w:ascii="Calibri" w:hAnsi="Calibri"/>
          <w:i/>
          <w:iCs/>
          <w:color w:val="000000" w:themeColor="text1"/>
          <w:sz w:val="32"/>
          <w:szCs w:val="32"/>
          <w:lang w:val="es"/>
        </w:rPr>
        <w:t xml:space="preserve">para mudarse será, </w:t>
      </w:r>
      <w:r>
        <w:rPr>
          <w:rFonts w:ascii="Calibri" w:hAnsi="Calibri"/>
          <w:i/>
          <w:iCs/>
          <w:color w:val="000000" w:themeColor="text1"/>
          <w:sz w:val="32"/>
          <w:szCs w:val="32"/>
          <w:u w:val="single"/>
          <w:lang w:val="es"/>
        </w:rPr>
        <w:t>al menos</w:t>
      </w:r>
      <w:r>
        <w:rPr>
          <w:rFonts w:ascii="Calibri" w:hAnsi="Calibri"/>
          <w:i/>
          <w:iCs/>
          <w:color w:val="000000" w:themeColor="text1"/>
          <w:sz w:val="32"/>
          <w:szCs w:val="32"/>
          <w:lang w:val="es"/>
        </w:rPr>
        <w:t>, 120 días desde la fecha de este aviso.</w:t>
      </w:r>
      <w:r>
        <w:rPr>
          <w:rFonts w:ascii="Calibri" w:hAnsi="Calibri"/>
          <w:b/>
          <w:bCs/>
          <w:color w:val="000000" w:themeColor="text1"/>
          <w:sz w:val="32"/>
          <w:szCs w:val="32"/>
          <w:lang w:val="es"/>
        </w:rPr>
        <w:t xml:space="preserve"> </w:t>
      </w:r>
      <w:r w:rsidR="001E137F">
        <w:rPr>
          <w:rFonts w:ascii="Calibri" w:hAnsi="Calibri"/>
          <w:b/>
          <w:bCs/>
          <w:color w:val="000000" w:themeColor="text1"/>
          <w:sz w:val="32"/>
          <w:szCs w:val="32"/>
          <w:lang w:val="es"/>
        </w:rPr>
        <w:br/>
      </w:r>
      <w:r>
        <w:rPr>
          <w:i/>
          <w:iCs/>
          <w:sz w:val="32"/>
          <w:szCs w:val="32"/>
          <w:lang w:val="es"/>
        </w:rPr>
        <w:t>Este aviso debe entregarse con una anticipación mínima de 120 días antes del final del plazo de arrendamiento o del plazo de arrendamiento mensual del inquilino.</w:t>
      </w:r>
    </w:p>
    <w:p w14:paraId="7832EC66" w14:textId="56786154" w:rsidR="004655DE" w:rsidRPr="00DD2E63" w:rsidRDefault="004655DE" w:rsidP="001E137F">
      <w:pPr>
        <w:ind w:right="-90"/>
        <w:rPr>
          <w:rFonts w:ascii="Calibri" w:eastAsia="Calibri" w:hAnsi="Calibri" w:cs="Calibri"/>
          <w:color w:val="000000" w:themeColor="text1"/>
          <w:sz w:val="32"/>
          <w:szCs w:val="32"/>
        </w:rPr>
      </w:pPr>
      <w:r>
        <w:rPr>
          <w:rFonts w:ascii="Calibri" w:eastAsia="Calibri" w:hAnsi="Calibri" w:cs="Calibri"/>
          <w:b/>
          <w:bCs/>
          <w:sz w:val="32"/>
          <w:szCs w:val="32"/>
          <w:lang w:val="es"/>
        </w:rPr>
        <w:t xml:space="preserve">Si no deja la vivienda, el propietario puede iniciar una acción judicial para desalojarlo de la vivienda. </w:t>
      </w:r>
      <w:r>
        <w:rPr>
          <w:rFonts w:ascii="Calibri" w:eastAsia="Calibri" w:hAnsi="Calibri" w:cs="Calibri"/>
          <w:b/>
          <w:bCs/>
          <w:color w:val="000000" w:themeColor="text1"/>
          <w:sz w:val="32"/>
          <w:szCs w:val="32"/>
          <w:lang w:val="es"/>
        </w:rPr>
        <w:t xml:space="preserve">Según las leyes estatales, si permanece en la vivienda después del final del período del aviso, puede ser elegible para recibir representación legal gratuita, si es un inquilino </w:t>
      </w:r>
      <w:r w:rsidR="001E137F">
        <w:rPr>
          <w:rFonts w:ascii="Calibri" w:eastAsia="Calibri" w:hAnsi="Calibri" w:cs="Calibri"/>
          <w:b/>
          <w:bCs/>
          <w:color w:val="000000" w:themeColor="text1"/>
          <w:sz w:val="32"/>
          <w:szCs w:val="32"/>
          <w:lang w:val="es"/>
        </w:rPr>
        <w:br/>
      </w:r>
      <w:r>
        <w:rPr>
          <w:rFonts w:ascii="Calibri" w:eastAsia="Calibri" w:hAnsi="Calibri" w:cs="Calibri"/>
          <w:b/>
          <w:bCs/>
          <w:color w:val="000000" w:themeColor="text1"/>
          <w:sz w:val="32"/>
          <w:szCs w:val="32"/>
          <w:lang w:val="es"/>
        </w:rPr>
        <w:t xml:space="preserve">de bajos ingresos que califica. </w:t>
      </w:r>
    </w:p>
    <w:p w14:paraId="1A670915" w14:textId="4A8E4B25" w:rsidR="22E59382" w:rsidRPr="000A078F" w:rsidRDefault="22E59382" w:rsidP="22E59382">
      <w:pPr>
        <w:jc w:val="center"/>
        <w:rPr>
          <w:rFonts w:ascii="Calibri" w:eastAsia="Calibri" w:hAnsi="Calibri" w:cs="Calibri"/>
          <w:color w:val="000000" w:themeColor="text1"/>
          <w:sz w:val="28"/>
          <w:szCs w:val="28"/>
        </w:rPr>
      </w:pPr>
      <w:r>
        <w:rPr>
          <w:rFonts w:ascii="Calibri" w:eastAsia="Calibri" w:hAnsi="Calibri" w:cs="Calibri"/>
          <w:b/>
          <w:bCs/>
          <w:color w:val="000000" w:themeColor="text1"/>
          <w:sz w:val="28"/>
          <w:szCs w:val="28"/>
          <w:u w:val="single"/>
          <w:lang w:val="es"/>
        </w:rPr>
        <w:t>Para recibir ayuda legal, asistencia para el alquiler y otros recursos:</w:t>
      </w:r>
      <w:r>
        <w:rPr>
          <w:rFonts w:ascii="Calibri" w:eastAsia="Calibri" w:hAnsi="Calibri" w:cs="Calibri"/>
          <w:b/>
          <w:bCs/>
          <w:color w:val="000000" w:themeColor="text1"/>
          <w:sz w:val="28"/>
          <w:szCs w:val="28"/>
          <w:lang w:val="es"/>
        </w:rPr>
        <w:t xml:space="preserve"> </w:t>
      </w:r>
    </w:p>
    <w:p w14:paraId="33A96C08" w14:textId="77777777" w:rsidR="004655DE" w:rsidRPr="000A078F" w:rsidRDefault="004655DE" w:rsidP="004655DE">
      <w:pPr>
        <w:pStyle w:val="ListParagraph"/>
        <w:numPr>
          <w:ilvl w:val="0"/>
          <w:numId w:val="2"/>
        </w:numPr>
        <w:rPr>
          <w:rFonts w:eastAsiaTheme="minorEastAsia"/>
          <w:color w:val="000000" w:themeColor="text1"/>
          <w:sz w:val="28"/>
          <w:szCs w:val="28"/>
        </w:rPr>
      </w:pPr>
      <w:r>
        <w:rPr>
          <w:rFonts w:ascii="Calibri" w:eastAsia="Calibri" w:hAnsi="Calibri" w:cs="Calibri"/>
          <w:color w:val="000000" w:themeColor="text1"/>
          <w:sz w:val="28"/>
          <w:szCs w:val="28"/>
          <w:lang w:val="es"/>
        </w:rPr>
        <w:t xml:space="preserve">Comuníquese con Housing Justice Project, que ofrece representación legal gratuita a los inquilinos elegibles, llamando al 206-580-0762 </w:t>
      </w:r>
    </w:p>
    <w:p w14:paraId="05A248E6" w14:textId="77777777" w:rsidR="004655DE" w:rsidRPr="000A078F" w:rsidRDefault="004655DE" w:rsidP="004655DE">
      <w:pPr>
        <w:pStyle w:val="ListParagraph"/>
        <w:numPr>
          <w:ilvl w:val="0"/>
          <w:numId w:val="2"/>
        </w:numPr>
        <w:rPr>
          <w:rFonts w:eastAsiaTheme="minorEastAsia"/>
          <w:color w:val="000000" w:themeColor="text1"/>
          <w:sz w:val="28"/>
          <w:szCs w:val="28"/>
        </w:rPr>
      </w:pPr>
      <w:r>
        <w:rPr>
          <w:rFonts w:ascii="Calibri" w:eastAsia="Calibri" w:hAnsi="Calibri" w:cs="Calibri"/>
          <w:color w:val="000000" w:themeColor="text1"/>
          <w:sz w:val="28"/>
          <w:szCs w:val="28"/>
          <w:lang w:val="es"/>
        </w:rPr>
        <w:t>Llame al 211 para recibir asistencia para el alquiler y otros recursos</w:t>
      </w:r>
    </w:p>
    <w:p w14:paraId="3DD358CD" w14:textId="77777777" w:rsidR="004655DE" w:rsidRPr="000A078F" w:rsidRDefault="004655DE" w:rsidP="004655DE">
      <w:pPr>
        <w:pStyle w:val="ListParagraph"/>
        <w:numPr>
          <w:ilvl w:val="0"/>
          <w:numId w:val="2"/>
        </w:numPr>
        <w:rPr>
          <w:rFonts w:eastAsiaTheme="minorEastAsia"/>
          <w:color w:val="000000" w:themeColor="text1"/>
          <w:sz w:val="28"/>
          <w:szCs w:val="28"/>
        </w:rPr>
      </w:pPr>
      <w:r>
        <w:rPr>
          <w:rFonts w:ascii="Calibri" w:eastAsia="Calibri" w:hAnsi="Calibri" w:cs="Calibri"/>
          <w:color w:val="000000" w:themeColor="text1"/>
          <w:sz w:val="28"/>
          <w:szCs w:val="28"/>
          <w:lang w:val="es"/>
        </w:rPr>
        <w:t>Los veteranos pueden llamar al Veterans Program (Programa de Veteranos) de King County al 206-263-8387</w:t>
      </w:r>
    </w:p>
    <w:p w14:paraId="7002819E" w14:textId="77777777" w:rsidR="004655DE" w:rsidRPr="000A078F" w:rsidRDefault="004655DE" w:rsidP="004655DE">
      <w:pPr>
        <w:pStyle w:val="ListParagraph"/>
        <w:numPr>
          <w:ilvl w:val="0"/>
          <w:numId w:val="2"/>
        </w:numPr>
        <w:rPr>
          <w:rFonts w:eastAsiaTheme="minorEastAsia"/>
          <w:color w:val="000000" w:themeColor="text1"/>
          <w:sz w:val="28"/>
          <w:szCs w:val="28"/>
        </w:rPr>
      </w:pPr>
      <w:r>
        <w:rPr>
          <w:rFonts w:ascii="Calibri" w:eastAsia="Calibri" w:hAnsi="Calibri" w:cs="Calibri"/>
          <w:color w:val="000000" w:themeColor="text1"/>
          <w:sz w:val="28"/>
          <w:szCs w:val="28"/>
          <w:lang w:val="es"/>
        </w:rPr>
        <w:t xml:space="preserve">Encuentre información adicional sobre sus derechos en </w:t>
      </w:r>
      <w:hyperlink r:id="rId10">
        <w:r>
          <w:rPr>
            <w:rStyle w:val="Hyperlink"/>
            <w:rFonts w:ascii="Calibri" w:eastAsia="Calibri" w:hAnsi="Calibri" w:cs="Calibri"/>
            <w:sz w:val="28"/>
            <w:szCs w:val="28"/>
            <w:lang w:val="es"/>
          </w:rPr>
          <w:t>washingtonlawhelp.org</w:t>
        </w:r>
      </w:hyperlink>
    </w:p>
    <w:p w14:paraId="75233773" w14:textId="30A868C0" w:rsidR="00EE44F8" w:rsidRPr="000A078F" w:rsidRDefault="00C84A0B" w:rsidP="00216B6A">
      <w:pPr>
        <w:rPr>
          <w:sz w:val="28"/>
          <w:szCs w:val="28"/>
        </w:rPr>
      </w:pPr>
      <w:r>
        <w:rPr>
          <w:sz w:val="28"/>
          <w:szCs w:val="28"/>
          <w:lang w:val="es"/>
        </w:rPr>
        <w:lastRenderedPageBreak/>
        <w:t xml:space="preserve">Si el propietario no refacciona sustancialmente la vivienda de alquiler después de que usted se mude, es posible que esto se considere una violación del código de King County. Comuníquese con una de las organizaciones de asistencia legal que figuran arriba para conocer más sobre sus derechos. </w:t>
      </w:r>
      <w:r>
        <w:rPr>
          <w:sz w:val="28"/>
          <w:szCs w:val="28"/>
          <w:lang w:val="es"/>
        </w:rPr>
        <w:br/>
      </w:r>
      <w:r>
        <w:rPr>
          <w:sz w:val="28"/>
          <w:szCs w:val="28"/>
          <w:lang w:val="es"/>
        </w:rPr>
        <w:br/>
      </w:r>
      <w:bookmarkStart w:id="0" w:name="_Hlk130375472"/>
      <w:r>
        <w:rPr>
          <w:b/>
          <w:bCs/>
          <w:sz w:val="28"/>
          <w:szCs w:val="28"/>
          <w:lang w:val="es"/>
        </w:rPr>
        <w:t xml:space="preserve">LOS PROPIETARIOS DEBEN INCLUIR AQUÍ UNA COPIA DE LA SOLICITUD DE PERMISO DE REFACCIONES COMPLETA PRESENTADA ANTE KING COUNTY </w:t>
      </w:r>
      <w:r w:rsidR="001E137F">
        <w:rPr>
          <w:b/>
          <w:bCs/>
          <w:sz w:val="28"/>
          <w:szCs w:val="28"/>
          <w:lang w:val="es"/>
        </w:rPr>
        <w:br/>
      </w:r>
      <w:r>
        <w:rPr>
          <w:b/>
          <w:bCs/>
          <w:sz w:val="28"/>
          <w:szCs w:val="28"/>
          <w:lang w:val="es"/>
        </w:rPr>
        <w:t>SOBRE LA QUE SE BASA ESTE AVISO</w:t>
      </w:r>
      <w:bookmarkEnd w:id="0"/>
    </w:p>
    <w:p w14:paraId="5514F035" w14:textId="77777777" w:rsidR="00DD2E63" w:rsidRPr="000A078F" w:rsidRDefault="00DD2E63" w:rsidP="4CC992ED">
      <w:pPr>
        <w:rPr>
          <w:sz w:val="28"/>
          <w:szCs w:val="28"/>
        </w:rPr>
      </w:pPr>
      <w:r>
        <w:rPr>
          <w:sz w:val="28"/>
          <w:szCs w:val="28"/>
          <w:lang w:val="es"/>
        </w:rPr>
        <w:t xml:space="preserve">Descripción detallada de los trabajos de refacción y reparación: </w:t>
      </w:r>
    </w:p>
    <w:p w14:paraId="4A3B2925" w14:textId="404DF689" w:rsidR="00EE44F8" w:rsidRPr="000A078F" w:rsidRDefault="00DD2E63" w:rsidP="4CC992ED">
      <w:pPr>
        <w:rPr>
          <w:sz w:val="28"/>
          <w:szCs w:val="28"/>
        </w:rPr>
      </w:pPr>
      <w:r>
        <w:rPr>
          <w:rFonts w:ascii="Calibri" w:hAnsi="Calibri"/>
          <w:color w:val="000000" w:themeColor="text1"/>
          <w:sz w:val="28"/>
          <w:szCs w:val="28"/>
          <w:lang w:val="es"/>
        </w:rPr>
        <w:t>_________________________________________________________________________________________________________________________________________________________________________________________________________</w:t>
      </w:r>
      <w:r>
        <w:rPr>
          <w:rFonts w:ascii="Calibri" w:hAnsi="Calibri"/>
          <w:sz w:val="28"/>
          <w:szCs w:val="28"/>
          <w:lang w:val="es"/>
        </w:rPr>
        <w:br/>
      </w:r>
    </w:p>
    <w:p w14:paraId="140A53C5" w14:textId="1F50024A" w:rsidR="00A84E09" w:rsidRPr="000A078F" w:rsidRDefault="3BECDA3E" w:rsidP="3BECDA3E">
      <w:pPr>
        <w:rPr>
          <w:rFonts w:ascii="Calibri" w:eastAsia="Calibri" w:hAnsi="Calibri" w:cs="Calibri"/>
          <w:color w:val="000000" w:themeColor="text1"/>
          <w:sz w:val="28"/>
          <w:szCs w:val="28"/>
        </w:rPr>
      </w:pPr>
      <w:r>
        <w:rPr>
          <w:rFonts w:ascii="Calibri" w:eastAsia="Calibri" w:hAnsi="Calibri" w:cs="Calibri"/>
          <w:b/>
          <w:bCs/>
          <w:color w:val="000000" w:themeColor="text1"/>
          <w:sz w:val="28"/>
          <w:szCs w:val="28"/>
          <w:u w:val="single"/>
          <w:lang w:val="es"/>
        </w:rPr>
        <w:t>Información adicional requerida por las leyes federales o estatales, u otras leyes o reglamentaciones similares:</w:t>
      </w:r>
      <w:r>
        <w:rPr>
          <w:rFonts w:ascii="Calibri" w:eastAsia="Calibri" w:hAnsi="Calibri" w:cs="Calibri"/>
          <w:b/>
          <w:bCs/>
          <w:color w:val="000000" w:themeColor="text1"/>
          <w:sz w:val="28"/>
          <w:szCs w:val="28"/>
          <w:lang w:val="es"/>
        </w:rPr>
        <w:t xml:space="preserve"> </w:t>
      </w:r>
      <w:r>
        <w:rPr>
          <w:rFonts w:ascii="Calibri" w:eastAsia="Calibri" w:hAnsi="Calibri" w:cs="Calibri"/>
          <w:color w:val="000000" w:themeColor="text1"/>
          <w:sz w:val="28"/>
          <w:szCs w:val="28"/>
          <w:lang w:val="es"/>
        </w:rPr>
        <w:t>_________________________________________________________________________________________________________________________________________________________________________________________________________</w:t>
      </w:r>
    </w:p>
    <w:p w14:paraId="48867157" w14:textId="579E885C" w:rsidR="00A84E09" w:rsidRDefault="00A84E09" w:rsidP="3BECDA3E"/>
    <w:p w14:paraId="37A5A631" w14:textId="04150B56" w:rsidR="004655DE" w:rsidRDefault="004655DE" w:rsidP="004655DE">
      <w:pPr>
        <w:rPr>
          <w:rFonts w:ascii="Calibri" w:eastAsia="Calibri" w:hAnsi="Calibri" w:cs="Calibri"/>
          <w:color w:val="000000" w:themeColor="text1"/>
        </w:rPr>
      </w:pPr>
      <w:r>
        <w:rPr>
          <w:rFonts w:ascii="Calibri" w:eastAsia="Calibri" w:hAnsi="Calibri" w:cs="Calibri"/>
          <w:color w:val="000000" w:themeColor="text1"/>
          <w:lang w:val="es"/>
        </w:rPr>
        <w:t>Firma del propietario/administrador de la propiedad: _______________________________</w:t>
      </w:r>
      <w:r w:rsidR="001E137F">
        <w:rPr>
          <w:rFonts w:ascii="Calibri" w:eastAsia="Calibri" w:hAnsi="Calibri" w:cs="Calibri"/>
          <w:color w:val="000000" w:themeColor="text1"/>
          <w:lang w:val="es"/>
        </w:rPr>
        <w:t>_</w:t>
      </w:r>
      <w:r>
        <w:rPr>
          <w:rFonts w:ascii="Calibri" w:eastAsia="Calibri" w:hAnsi="Calibri" w:cs="Calibri"/>
          <w:color w:val="000000" w:themeColor="text1"/>
          <w:lang w:val="es"/>
        </w:rPr>
        <w:t>_________</w:t>
      </w:r>
    </w:p>
    <w:p w14:paraId="68E573F3" w14:textId="4E16DA96" w:rsidR="004655DE" w:rsidRDefault="004655DE" w:rsidP="004655DE">
      <w:pPr>
        <w:rPr>
          <w:rFonts w:ascii="Calibri" w:eastAsia="Calibri" w:hAnsi="Calibri" w:cs="Calibri"/>
          <w:color w:val="000000" w:themeColor="text1"/>
        </w:rPr>
      </w:pPr>
      <w:r>
        <w:rPr>
          <w:rFonts w:ascii="Calibri" w:eastAsia="Calibri" w:hAnsi="Calibri" w:cs="Calibri"/>
          <w:color w:val="000000" w:themeColor="text1"/>
          <w:lang w:val="es"/>
        </w:rPr>
        <w:t>Nombre del propietario/administrador de la propiedad: _______________________________________</w:t>
      </w:r>
    </w:p>
    <w:p w14:paraId="459E1C6D" w14:textId="4016ABB9" w:rsidR="004655DE" w:rsidRDefault="004655DE" w:rsidP="004655DE">
      <w:pPr>
        <w:rPr>
          <w:rFonts w:ascii="Calibri" w:eastAsia="Calibri" w:hAnsi="Calibri" w:cs="Calibri"/>
          <w:color w:val="000000" w:themeColor="text1"/>
        </w:rPr>
      </w:pPr>
      <w:r>
        <w:rPr>
          <w:rFonts w:ascii="Calibri" w:eastAsia="Calibri" w:hAnsi="Calibri" w:cs="Calibri"/>
          <w:color w:val="000000" w:themeColor="text1"/>
          <w:lang w:val="es"/>
        </w:rPr>
        <w:t>Número de teléfono del propietario/administrador de la propiedad: _____________________________</w:t>
      </w:r>
    </w:p>
    <w:p w14:paraId="5DB551B2" w14:textId="313B7932" w:rsidR="004655DE" w:rsidRDefault="004655DE" w:rsidP="004655DE">
      <w:pPr>
        <w:rPr>
          <w:rFonts w:ascii="Calibri" w:eastAsia="Calibri" w:hAnsi="Calibri" w:cs="Calibri"/>
          <w:color w:val="000000" w:themeColor="text1"/>
        </w:rPr>
      </w:pPr>
      <w:r>
        <w:rPr>
          <w:rFonts w:ascii="Calibri" w:eastAsia="Calibri" w:hAnsi="Calibri" w:cs="Calibri"/>
          <w:color w:val="000000" w:themeColor="text1"/>
          <w:lang w:val="es"/>
        </w:rPr>
        <w:t>Correo electrónico del propietario/administrador de la propiedad: ______________________________</w:t>
      </w:r>
      <w:r w:rsidR="001E137F">
        <w:rPr>
          <w:rFonts w:ascii="Calibri" w:eastAsia="Calibri" w:hAnsi="Calibri" w:cs="Calibri"/>
          <w:color w:val="000000" w:themeColor="text1"/>
          <w:lang w:val="es"/>
        </w:rPr>
        <w:t>_</w:t>
      </w:r>
    </w:p>
    <w:p w14:paraId="77E21752" w14:textId="77777777" w:rsidR="004655DE" w:rsidRPr="00A84E09" w:rsidRDefault="004655DE" w:rsidP="3BECDA3E"/>
    <w:sectPr w:rsidR="004655DE" w:rsidRPr="00A84E0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F8CC5" w14:textId="77777777" w:rsidR="001B4CF8" w:rsidRDefault="001B4CF8" w:rsidP="00C84A0B">
      <w:pPr>
        <w:spacing w:after="0" w:line="240" w:lineRule="auto"/>
      </w:pPr>
      <w:r>
        <w:separator/>
      </w:r>
    </w:p>
  </w:endnote>
  <w:endnote w:type="continuationSeparator" w:id="0">
    <w:p w14:paraId="676B2E90" w14:textId="77777777" w:rsidR="001B4CF8" w:rsidRDefault="001B4CF8" w:rsidP="00C8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C1DA" w14:textId="65FAF3AF" w:rsidR="00D10D2A" w:rsidRDefault="00D10D2A">
    <w:pPr>
      <w:pStyle w:val="Footer"/>
      <w:jc w:val="right"/>
    </w:pPr>
    <w:r>
      <w:rPr>
        <w:lang w:val="es"/>
      </w:rPr>
      <w:t xml:space="preserve">Página </w:t>
    </w:r>
    <w:sdt>
      <w:sdtPr>
        <w:id w:val="-511833610"/>
        <w:docPartObj>
          <w:docPartGallery w:val="Page Numbers (Bottom of Page)"/>
          <w:docPartUnique/>
        </w:docPartObj>
      </w:sdtPr>
      <w:sdtEndPr>
        <w:rPr>
          <w:noProof/>
        </w:rPr>
      </w:sdtEndPr>
      <w:sdtContent>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r>
          <w:rPr>
            <w:noProof/>
            <w:lang w:val="es"/>
          </w:rPr>
          <w:t xml:space="preserve"> de __</w:t>
        </w:r>
      </w:sdtContent>
    </w:sdt>
  </w:p>
  <w:p w14:paraId="3510C57D" w14:textId="77777777" w:rsidR="00D10D2A" w:rsidRDefault="00D10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F097C" w14:textId="77777777" w:rsidR="001B4CF8" w:rsidRDefault="001B4CF8" w:rsidP="00C84A0B">
      <w:pPr>
        <w:spacing w:after="0" w:line="240" w:lineRule="auto"/>
      </w:pPr>
      <w:r>
        <w:separator/>
      </w:r>
    </w:p>
  </w:footnote>
  <w:footnote w:type="continuationSeparator" w:id="0">
    <w:p w14:paraId="0238C636" w14:textId="77777777" w:rsidR="001B4CF8" w:rsidRDefault="001B4CF8" w:rsidP="00C84A0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abstractNum w:abstractNumId="1" w15:restartNumberingAfterBreak="0">
    <w:nsid w:val="54FB7513"/>
    <w:multiLevelType w:val="hybridMultilevel"/>
    <w:tmpl w:val="4B2AE430"/>
    <w:lvl w:ilvl="0" w:tplc="AFE446DA">
      <w:start w:val="1"/>
      <w:numFmt w:val="bullet"/>
      <w:lvlText w:val=""/>
      <w:lvlJc w:val="left"/>
      <w:pPr>
        <w:ind w:left="720" w:hanging="360"/>
      </w:pPr>
      <w:rPr>
        <w:rFonts w:ascii="Symbol" w:hAnsi="Symbol" w:hint="default"/>
      </w:rPr>
    </w:lvl>
    <w:lvl w:ilvl="1" w:tplc="7F3A491A">
      <w:start w:val="1"/>
      <w:numFmt w:val="bullet"/>
      <w:lvlText w:val="o"/>
      <w:lvlJc w:val="left"/>
      <w:pPr>
        <w:ind w:left="1440" w:hanging="360"/>
      </w:pPr>
      <w:rPr>
        <w:rFonts w:ascii="Courier New" w:hAnsi="Courier New" w:hint="default"/>
      </w:rPr>
    </w:lvl>
    <w:lvl w:ilvl="2" w:tplc="E10E5A64">
      <w:start w:val="1"/>
      <w:numFmt w:val="bullet"/>
      <w:lvlText w:val=""/>
      <w:lvlJc w:val="left"/>
      <w:pPr>
        <w:ind w:left="2160" w:hanging="360"/>
      </w:pPr>
      <w:rPr>
        <w:rFonts w:ascii="Wingdings" w:hAnsi="Wingdings" w:hint="default"/>
      </w:rPr>
    </w:lvl>
    <w:lvl w:ilvl="3" w:tplc="19008222">
      <w:start w:val="1"/>
      <w:numFmt w:val="bullet"/>
      <w:lvlText w:val=""/>
      <w:lvlJc w:val="left"/>
      <w:pPr>
        <w:ind w:left="2880" w:hanging="360"/>
      </w:pPr>
      <w:rPr>
        <w:rFonts w:ascii="Symbol" w:hAnsi="Symbol" w:hint="default"/>
      </w:rPr>
    </w:lvl>
    <w:lvl w:ilvl="4" w:tplc="E0DAA7F4">
      <w:start w:val="1"/>
      <w:numFmt w:val="bullet"/>
      <w:lvlText w:val="o"/>
      <w:lvlJc w:val="left"/>
      <w:pPr>
        <w:ind w:left="3600" w:hanging="360"/>
      </w:pPr>
      <w:rPr>
        <w:rFonts w:ascii="Courier New" w:hAnsi="Courier New" w:hint="default"/>
      </w:rPr>
    </w:lvl>
    <w:lvl w:ilvl="5" w:tplc="DE68BBE6">
      <w:start w:val="1"/>
      <w:numFmt w:val="bullet"/>
      <w:lvlText w:val=""/>
      <w:lvlJc w:val="left"/>
      <w:pPr>
        <w:ind w:left="4320" w:hanging="360"/>
      </w:pPr>
      <w:rPr>
        <w:rFonts w:ascii="Wingdings" w:hAnsi="Wingdings" w:hint="default"/>
      </w:rPr>
    </w:lvl>
    <w:lvl w:ilvl="6" w:tplc="15C8176A">
      <w:start w:val="1"/>
      <w:numFmt w:val="bullet"/>
      <w:lvlText w:val=""/>
      <w:lvlJc w:val="left"/>
      <w:pPr>
        <w:ind w:left="5040" w:hanging="360"/>
      </w:pPr>
      <w:rPr>
        <w:rFonts w:ascii="Symbol" w:hAnsi="Symbol" w:hint="default"/>
      </w:rPr>
    </w:lvl>
    <w:lvl w:ilvl="7" w:tplc="809C6C68">
      <w:start w:val="1"/>
      <w:numFmt w:val="bullet"/>
      <w:lvlText w:val="o"/>
      <w:lvlJc w:val="left"/>
      <w:pPr>
        <w:ind w:left="5760" w:hanging="360"/>
      </w:pPr>
      <w:rPr>
        <w:rFonts w:ascii="Courier New" w:hAnsi="Courier New" w:hint="default"/>
      </w:rPr>
    </w:lvl>
    <w:lvl w:ilvl="8" w:tplc="71C4ECD0">
      <w:start w:val="1"/>
      <w:numFmt w:val="bullet"/>
      <w:lvlText w:val=""/>
      <w:lvlJc w:val="left"/>
      <w:pPr>
        <w:ind w:left="6480" w:hanging="360"/>
      </w:pPr>
      <w:rPr>
        <w:rFonts w:ascii="Wingdings" w:hAnsi="Wingdings" w:hint="default"/>
      </w:rPr>
    </w:lvl>
  </w:abstractNum>
  <w:num w:numId="1" w16cid:durableId="1637374675">
    <w:abstractNumId w:val="1"/>
  </w:num>
  <w:num w:numId="2" w16cid:durableId="88128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09"/>
    <w:rsid w:val="000A078F"/>
    <w:rsid w:val="001A4A21"/>
    <w:rsid w:val="001B2F43"/>
    <w:rsid w:val="001B4CF8"/>
    <w:rsid w:val="001E137F"/>
    <w:rsid w:val="00216B6A"/>
    <w:rsid w:val="003A1A94"/>
    <w:rsid w:val="003C55DC"/>
    <w:rsid w:val="004222D7"/>
    <w:rsid w:val="004655DE"/>
    <w:rsid w:val="0051568F"/>
    <w:rsid w:val="00520928"/>
    <w:rsid w:val="00541CCA"/>
    <w:rsid w:val="005D1B2F"/>
    <w:rsid w:val="00656F7F"/>
    <w:rsid w:val="006F1898"/>
    <w:rsid w:val="00762C2D"/>
    <w:rsid w:val="007756B0"/>
    <w:rsid w:val="008E7B32"/>
    <w:rsid w:val="009C1E4A"/>
    <w:rsid w:val="00A16AD5"/>
    <w:rsid w:val="00A53B79"/>
    <w:rsid w:val="00A84E09"/>
    <w:rsid w:val="00B020F8"/>
    <w:rsid w:val="00BC58D4"/>
    <w:rsid w:val="00BD60F6"/>
    <w:rsid w:val="00C84A0B"/>
    <w:rsid w:val="00D10D2A"/>
    <w:rsid w:val="00D70E2F"/>
    <w:rsid w:val="00D82090"/>
    <w:rsid w:val="00DD2E63"/>
    <w:rsid w:val="00DE1367"/>
    <w:rsid w:val="00E455B8"/>
    <w:rsid w:val="00ED03D5"/>
    <w:rsid w:val="00EE44F8"/>
    <w:rsid w:val="00F66AE5"/>
    <w:rsid w:val="0990E82F"/>
    <w:rsid w:val="0C6A2C25"/>
    <w:rsid w:val="17A5962E"/>
    <w:rsid w:val="22E59382"/>
    <w:rsid w:val="25E47795"/>
    <w:rsid w:val="2644A9ED"/>
    <w:rsid w:val="344E8C46"/>
    <w:rsid w:val="371738CA"/>
    <w:rsid w:val="38E01309"/>
    <w:rsid w:val="3BECDA3E"/>
    <w:rsid w:val="4CC992ED"/>
    <w:rsid w:val="52287FBD"/>
    <w:rsid w:val="56C37FCB"/>
    <w:rsid w:val="7C9BE3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96B7A"/>
  <w15:chartTrackingRefBased/>
  <w15:docId w15:val="{8A68B0B9-FA1E-4D39-8C9A-38B4BFE6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E09"/>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10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D2A"/>
  </w:style>
  <w:style w:type="paragraph" w:styleId="Footer">
    <w:name w:val="footer"/>
    <w:basedOn w:val="Normal"/>
    <w:link w:val="FooterChar"/>
    <w:uiPriority w:val="99"/>
    <w:unhideWhenUsed/>
    <w:rsid w:val="00D10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D2A"/>
  </w:style>
  <w:style w:type="paragraph" w:styleId="Revision">
    <w:name w:val="Revision"/>
    <w:hidden/>
    <w:uiPriority w:val="99"/>
    <w:semiHidden/>
    <w:rsid w:val="009C1E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E533D-B8A6-4488-8D6D-114738839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78448-5F46-4EFD-82CC-FF1E1BB540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7747E9-94F2-4A25-863E-2485B878BA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leslie</cp:lastModifiedBy>
  <cp:revision>14</cp:revision>
  <dcterms:created xsi:type="dcterms:W3CDTF">2023-03-22T21:03:00Z</dcterms:created>
  <dcterms:modified xsi:type="dcterms:W3CDTF">2023-05-02T16:17:00Z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